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40"/>
      </w:pPr>
    </w:p>
    <w:p>
      <w:pPr>
        <w:spacing w:after="360"/>
        <w:jc w:val="center"/>
      </w:pPr>
      <w:r>
        <w:rPr>
          <w:rFonts w:ascii="Calibri" w:hAnsi="Calibri" w:eastAsia="Calibri"/>
          <w:b/>
          <w:color w:val="7023F7"/>
          <w:sz w:val="22"/>
        </w:rPr>
        <w:t>AUDIT PRODUIT</w:t>
      </w:r>
    </w:p>
    <w:p>
      <w:pPr>
        <w:pStyle w:val="Title"/>
      </w:pPr>
      <w:r>
        <w:t>MusicLand</w:t>
      </w:r>
    </w:p>
    <w:p>
      <w:pPr>
        <w:pStyle w:val="Subtitle"/>
      </w:pPr>
      <w:r>
        <w:t>État actuel de l’application, parcours utilisateurs et système de crédits</w:t>
      </w:r>
    </w:p>
    <w:p>
      <w:pPr>
        <w:spacing w:before="320" w:after="1320"/>
        <w:jc w:val="center"/>
      </w:pPr>
      <w:r>
        <w:rPr>
          <w:rFonts w:ascii="Calibri" w:hAnsi="Calibri" w:eastAsia="Calibri"/>
          <w:i/>
          <w:color w:val="5B6573"/>
          <w:sz w:val="21"/>
        </w:rPr>
        <w:t>Version analysée : espace de travail au 25 août 2026</w:t>
      </w:r>
    </w:p>
    <w:p>
      <w:pPr>
        <w:spacing w:after="120"/>
        <w:jc w:val="center"/>
      </w:pPr>
      <w:r>
        <w:rPr>
          <w:rFonts w:ascii="Calibri" w:hAnsi="Calibri" w:eastAsia="Calibri"/>
          <w:b/>
          <w:color w:val="203748"/>
          <w:sz w:val="22"/>
        </w:rPr>
        <w:t>Document de lecture produit</w:t>
      </w:r>
    </w:p>
    <w:p>
      <w:pPr>
        <w:spacing w:after="0"/>
        <w:jc w:val="center"/>
      </w:pPr>
      <w:r>
        <w:rPr>
          <w:rFonts w:ascii="Calibri" w:hAnsi="Calibri" w:eastAsia="Calibri"/>
          <w:color w:val="5B6573"/>
          <w:sz w:val="20"/>
        </w:rPr>
        <w:t>Volontairement peu technique · centré sur l’expérience, les règles métier et les priorités</w:t>
      </w:r>
    </w:p>
    <w:p>
      <w:r>
        <w:br w:type="page"/>
      </w:r>
    </w:p>
    <w:p>
      <w:pPr>
        <w:pStyle w:val="Heading1"/>
        <w:keepNext/>
        <w:keepLines/>
      </w:pPr>
      <w:r>
        <w:t>1. Synthèse exécutive</w:t>
      </w:r>
    </w:p>
    <w:tbl>
      <w:tblPr>
        <w:tblW w:type="dxa" w:w="9360"/>
        <w:jc w:val="left"/>
        <w:tblLayout w:type="fixed"/>
        <w:tblLook w:firstColumn="1" w:firstRow="1" w:lastColumn="0" w:lastRow="0" w:noHBand="0" w:noVBand="1" w:val="04A0"/>
        <w:tblInd w:w="120" w:type="dxa"/>
        <w:tblBorders>
          <w:top w:val="single" w:sz="4" w:space="0" w:color="E8EEF5"/>
          <w:left w:val="single" w:sz="4" w:space="0" w:color="E8EEF5"/>
          <w:bottom w:val="single" w:sz="4" w:space="0" w:color="E8EEF5"/>
          <w:right w:val="single" w:sz="4" w:space="0" w:color="E8EEF5"/>
          <w:insideH w:val="single" w:sz="4" w:space="0" w:color="E8EEF5"/>
          <w:insideV w:val="single" w:sz="4" w:space="0" w:color="E8EEF5"/>
        </w:tblBorders>
      </w:tblPr>
      <w:tblGrid>
        <w:gridCol w:w="9360"/>
      </w:tblGrid>
      <w:tr>
        <w:tc>
          <w:tcPr>
            <w:tcW w:type="dxa" w:w="9360"/>
            <w:tcMar>
              <w:top w:w="80" w:type="dxa"/>
              <w:start w:w="120" w:type="dxa"/>
              <w:bottom w:w="80" w:type="dxa"/>
              <w:end w:w="120" w:type="dxa"/>
            </w:tcMar>
            <w:vAlign w:val="center"/>
            <w:shd w:fill="E8EEF5" w:val="clear"/>
          </w:tcPr>
          <w:p>
            <w:pPr>
              <w:spacing w:before="40" w:after="40" w:line="264" w:lineRule="auto"/>
            </w:pPr>
            <w:r>
              <w:rPr>
                <w:rFonts w:ascii="Calibri" w:hAnsi="Calibri" w:eastAsia="Calibri"/>
                <w:b/>
                <w:color w:val="1F4D78"/>
              </w:rPr>
              <w:t xml:space="preserve">Conclusion  </w:t>
            </w:r>
            <w:r>
              <w:rPr>
                <w:rFonts w:ascii="Calibri" w:hAnsi="Calibri" w:eastAsia="Calibri"/>
                <w:color w:val="17202A"/>
              </w:rPr>
              <w:t>MusicLand possède déjà un parcours de création complet et différenciant : écrire une chanson, générer deux propositions musicales, créer une pochette, produire un playback puis publier et partager. Le cœur d’expérience est présent. En revanche, le modèle de crédits, certaines règles de paiement et la publication YouTube ne sont pas encore assez cohérents pour une mise en avant commerciale sans risque.</w:t>
            </w:r>
          </w:p>
        </w:tc>
      </w:tr>
    </w:tbl>
    <w:p>
      <w:pPr>
        <w:spacing w:after="40"/>
      </w:pPr>
    </w:p>
    <w:p>
      <w:pPr>
        <w:keepLines/>
      </w:pPr>
      <w:r>
        <w:rPr>
          <w:rFonts w:ascii="Calibri" w:hAnsi="Calibri" w:eastAsia="Calibri"/>
          <w:i w:val="0"/>
          <w:color w:val="17202A"/>
        </w:rPr>
        <w:t>L’application s’organise autour de deux usages complémentaires : créer sa propre musique et écouter les créations de la communauté. L’espace d’accueil guide le créateur dans quatre étapes successives, tandis que les onglets Streaming, Playback, Librairie et Profil prennent en charge la découverte, l’engagement social et la gestion du compte.</w:t>
      </w:r>
    </w:p>
    <w:p>
      <w:pPr>
        <w:pStyle w:val="Heading2"/>
        <w:keepNext/>
        <w:keepLines/>
      </w:pPr>
      <w:r>
        <w:t>Les points forts actuels</w:t>
      </w:r>
    </w:p>
    <w:p>
      <w:pPr>
        <w:pStyle w:val="AuditBullet"/>
        <w:numPr>
          <w:ilvl w:val="0"/>
          <w:numId w:val="50"/>
        </w:numPr>
        <w:keepLines/>
      </w:pPr>
      <w:r>
        <w:rPr>
          <w:rFonts w:ascii="Calibri" w:hAnsi="Calibri" w:eastAsia="Calibri"/>
          <w:b/>
          <w:color w:val="17202A"/>
        </w:rPr>
        <w:t>Parcours guidé et narratif :</w:t>
      </w:r>
      <w:r>
        <w:rPr>
          <w:rFonts w:ascii="Calibri" w:hAnsi="Calibri" w:eastAsia="Calibri"/>
          <w:color w:val="17202A"/>
        </w:rPr>
        <w:t xml:space="preserve"> chaque grande étape est incarnée par un personnage et débloquée progressivement.</w:t>
      </w:r>
    </w:p>
    <w:p>
      <w:pPr>
        <w:pStyle w:val="AuditBullet"/>
        <w:numPr>
          <w:ilvl w:val="0"/>
          <w:numId w:val="50"/>
        </w:numPr>
        <w:keepLines/>
      </w:pPr>
      <w:r>
        <w:rPr>
          <w:rFonts w:ascii="Calibri" w:hAnsi="Calibri" w:eastAsia="Calibri"/>
          <w:b/>
          <w:color w:val="17202A"/>
        </w:rPr>
        <w:t>Création de bout en bout :</w:t>
      </w:r>
      <w:r>
        <w:rPr>
          <w:rFonts w:ascii="Calibri" w:hAnsi="Calibri" w:eastAsia="Calibri"/>
          <w:color w:val="17202A"/>
        </w:rPr>
        <w:t xml:space="preserve"> paroles, musique, choix entre deux morceaux, pochette, playback live ou IA, publication.</w:t>
      </w:r>
    </w:p>
    <w:p>
      <w:pPr>
        <w:pStyle w:val="AuditBullet"/>
        <w:numPr>
          <w:ilvl w:val="0"/>
          <w:numId w:val="50"/>
        </w:numPr>
        <w:keepLines/>
      </w:pPr>
      <w:r>
        <w:rPr>
          <w:rFonts w:ascii="Calibri" w:hAnsi="Calibri" w:eastAsia="Calibri"/>
          <w:b/>
          <w:color w:val="17202A"/>
        </w:rPr>
        <w:t>Écosystème communautaire déjà riche :</w:t>
      </w:r>
      <w:r>
        <w:rPr>
          <w:rFonts w:ascii="Calibri" w:hAnsi="Calibri" w:eastAsia="Calibri"/>
          <w:color w:val="17202A"/>
        </w:rPr>
        <w:t xml:space="preserve"> streaming, classement, likes, commentaires, abonnements à des artistes, partage et playlists.</w:t>
      </w:r>
    </w:p>
    <w:p>
      <w:pPr>
        <w:pStyle w:val="AuditBullet"/>
        <w:numPr>
          <w:ilvl w:val="0"/>
          <w:numId w:val="50"/>
        </w:numPr>
        <w:keepLines/>
      </w:pPr>
      <w:r>
        <w:rPr>
          <w:rFonts w:ascii="Calibri" w:hAnsi="Calibri" w:eastAsia="Calibri"/>
          <w:b/>
          <w:color w:val="17202A"/>
        </w:rPr>
        <w:t>Monétisation déjà branchée :</w:t>
      </w:r>
      <w:r>
        <w:rPr>
          <w:rFonts w:ascii="Calibri" w:hAnsi="Calibri" w:eastAsia="Calibri"/>
          <w:color w:val="17202A"/>
        </w:rPr>
        <w:t xml:space="preserve"> abonnements, achats de crédits et achats de téléchargement via Stripe.</w:t>
      </w:r>
    </w:p>
    <w:p>
      <w:pPr>
        <w:pStyle w:val="AuditBullet"/>
        <w:numPr>
          <w:ilvl w:val="0"/>
          <w:numId w:val="50"/>
        </w:numPr>
        <w:keepLines/>
      </w:pPr>
      <w:r>
        <w:rPr>
          <w:rFonts w:ascii="Calibri" w:hAnsi="Calibri" w:eastAsia="Calibri"/>
          <w:b/>
          <w:color w:val="17202A"/>
        </w:rPr>
        <w:t>Suivi des crédits visible :</w:t>
      </w:r>
      <w:r>
        <w:rPr>
          <w:rFonts w:ascii="Calibri" w:hAnsi="Calibri" w:eastAsia="Calibri"/>
          <w:color w:val="17202A"/>
        </w:rPr>
        <w:t xml:space="preserve"> solde, historique des opérations, notification après crédit ou débit, remboursement en cas d’échec de génération musicale.</w:t>
      </w:r>
    </w:p>
    <w:p>
      <w:pPr>
        <w:pStyle w:val="Heading2"/>
        <w:keepNext/>
        <w:keepLines/>
      </w:pPr>
      <w:r>
        <w:t>Les risques prioritaires</w:t>
      </w:r>
    </w:p>
    <w:p>
      <w:pPr>
        <w:pStyle w:val="AuditBullet"/>
        <w:numPr>
          <w:ilvl w:val="0"/>
          <w:numId w:val="50"/>
        </w:numPr>
        <w:keepLines/>
      </w:pPr>
      <w:r>
        <w:rPr>
          <w:rFonts w:ascii="Calibri" w:hAnsi="Calibri" w:eastAsia="Calibri"/>
          <w:b/>
          <w:color w:val="17202A"/>
        </w:rPr>
        <w:t>Crédits d’abonnement incohérents :</w:t>
      </w:r>
      <w:r>
        <w:rPr>
          <w:rFonts w:ascii="Calibri" w:hAnsi="Calibri" w:eastAsia="Calibri"/>
          <w:color w:val="17202A"/>
        </w:rPr>
        <w:t xml:space="preserve"> l’écran promet 50 / 110 / 160 crédits par mois, mais les montants internes de référence sont 10 / 40 / 60. Pour les abonnements mensuels, aucun versement de crédits n’apparaît clairement dans le parcours actuel.</w:t>
      </w:r>
    </w:p>
    <w:p>
      <w:pPr>
        <w:pStyle w:val="AuditBullet"/>
        <w:numPr>
          <w:ilvl w:val="0"/>
          <w:numId w:val="50"/>
        </w:numPr>
        <w:keepLines/>
      </w:pPr>
      <w:r>
        <w:rPr>
          <w:rFonts w:ascii="Calibri" w:hAnsi="Calibri" w:eastAsia="Calibri"/>
          <w:b/>
          <w:color w:val="17202A"/>
        </w:rPr>
        <w:t>Publication YouTube non finalisée :</w:t>
      </w:r>
      <w:r>
        <w:rPr>
          <w:rFonts w:ascii="Calibri" w:hAnsi="Calibri" w:eastAsia="Calibri"/>
          <w:color w:val="17202A"/>
        </w:rPr>
        <w:t xml:space="preserve"> l’utilisateur peut confirmer une publication et recevoir un message de succès, alors que l’action d’envoi est actuellement désactivée.</w:t>
      </w:r>
    </w:p>
    <w:p>
      <w:pPr>
        <w:pStyle w:val="AuditBullet"/>
        <w:numPr>
          <w:ilvl w:val="0"/>
          <w:numId w:val="50"/>
        </w:numPr>
        <w:keepLines/>
      </w:pPr>
      <w:r>
        <w:rPr>
          <w:rFonts w:ascii="Calibri" w:hAnsi="Calibri" w:eastAsia="Calibri"/>
          <w:b/>
          <w:color w:val="17202A"/>
        </w:rPr>
        <w:t>Droits de téléchargement trop larges :</w:t>
      </w:r>
      <w:r>
        <w:rPr>
          <w:rFonts w:ascii="Calibri" w:hAnsi="Calibri" w:eastAsia="Calibri"/>
          <w:color w:val="17202A"/>
        </w:rPr>
        <w:t xml:space="preserve"> un indicateur général “a déjà acheté” peut permettre le téléchargement d’autres créations après n’importe quel achat payé, alors que l’écran parle d’un achat à 1,99 € pour un contenu précis.</w:t>
      </w:r>
    </w:p>
    <w:p>
      <w:pPr>
        <w:pStyle w:val="AuditBullet"/>
        <w:numPr>
          <w:ilvl w:val="0"/>
          <w:numId w:val="50"/>
        </w:numPr>
        <w:keepLines/>
      </w:pPr>
      <w:r>
        <w:rPr>
          <w:rFonts w:ascii="Calibri" w:hAnsi="Calibri" w:eastAsia="Calibri"/>
          <w:b/>
          <w:color w:val="17202A"/>
        </w:rPr>
        <w:t>Playback IA sans règle économique ni consentement dédié :</w:t>
      </w:r>
      <w:r>
        <w:rPr>
          <w:rFonts w:ascii="Calibri" w:hAnsi="Calibri" w:eastAsia="Calibri"/>
          <w:color w:val="17202A"/>
        </w:rPr>
        <w:t xml:space="preserve"> la génération est utilisable sans débit de crédits et sans cadre explicite sur la photo d’un tiers, les célébrités ou le droit à l’image.</w:t>
      </w:r>
    </w:p>
    <w:p>
      <w:pPr>
        <w:pStyle w:val="AuditBullet"/>
        <w:numPr>
          <w:ilvl w:val="0"/>
          <w:numId w:val="50"/>
        </w:numPr>
        <w:keepLines/>
      </w:pPr>
      <w:r>
        <w:rPr>
          <w:rFonts w:ascii="Calibri" w:hAnsi="Calibri" w:eastAsia="Calibri"/>
          <w:b/>
          <w:color w:val="17202A"/>
        </w:rPr>
        <w:t>Documents légaux non adaptés :</w:t>
      </w:r>
      <w:r>
        <w:rPr>
          <w:rFonts w:ascii="Calibri" w:hAnsi="Calibri" w:eastAsia="Calibri"/>
          <w:color w:val="17202A"/>
        </w:rPr>
        <w:t xml:space="preserve"> les CGU et la politique de confidentialité parlent encore de “minuit.starter”, de tâches et de “Minuit.coins”, pas de MusicLand ni de création musicale et vidéo.</w:t>
      </w:r>
    </w:p>
    <w:tbl>
      <w:tblPr>
        <w:tblW w:type="dxa" w:w="9360"/>
        <w:jc w:val="left"/>
        <w:tblLayout w:type="fixed"/>
        <w:tblLook w:firstColumn="1" w:firstRow="1" w:lastColumn="0" w:lastRow="0" w:noHBand="0" w:noVBand="1" w:val="04A0"/>
        <w:tblInd w:w="120" w:type="dxa"/>
        <w:tblBorders>
          <w:top w:val="single" w:sz="4" w:space="0" w:color="FBE9E7"/>
          <w:left w:val="single" w:sz="4" w:space="0" w:color="FBE9E7"/>
          <w:bottom w:val="single" w:sz="4" w:space="0" w:color="FBE9E7"/>
          <w:right w:val="single" w:sz="4" w:space="0" w:color="FBE9E7"/>
          <w:insideH w:val="single" w:sz="4" w:space="0" w:color="FBE9E7"/>
          <w:insideV w:val="single" w:sz="4" w:space="0" w:color="FBE9E7"/>
        </w:tblBorders>
      </w:tblPr>
      <w:tblGrid>
        <w:gridCol w:w="9360"/>
      </w:tblGrid>
      <w:tr>
        <w:tc>
          <w:tcPr>
            <w:tcW w:type="dxa" w:w="9360"/>
            <w:tcMar>
              <w:top w:w="80" w:type="dxa"/>
              <w:start w:w="120" w:type="dxa"/>
              <w:bottom w:w="80" w:type="dxa"/>
              <w:end w:w="120" w:type="dxa"/>
            </w:tcMar>
            <w:vAlign w:val="center"/>
            <w:shd w:fill="FBE9E7" w:val="clear"/>
          </w:tcPr>
          <w:p>
            <w:pPr>
              <w:spacing w:before="40" w:after="40" w:line="264" w:lineRule="auto"/>
            </w:pPr>
            <w:r>
              <w:rPr>
                <w:rFonts w:ascii="Calibri" w:hAnsi="Calibri" w:eastAsia="Calibri"/>
                <w:b/>
                <w:color w:val="9B1C1C"/>
              </w:rPr>
              <w:t xml:space="preserve">Priorité recommandée  </w:t>
            </w:r>
            <w:r>
              <w:rPr>
                <w:rFonts w:ascii="Calibri" w:hAnsi="Calibri" w:eastAsia="Calibri"/>
                <w:color w:val="17202A"/>
              </w:rPr>
              <w:t>Avant d’ajouter de nouvelles fonctions, figer une seule grille de crédits et une seule règle de téléchargement, puis mettre à jour les textes légaux et rendre honnête l’état de la publication YouTube.</w:t>
            </w:r>
          </w:p>
        </w:tc>
      </w:tr>
    </w:tbl>
    <w:p>
      <w:pPr>
        <w:spacing w:after="40"/>
      </w:pPr>
    </w:p>
    <w:p>
      <w:pPr>
        <w:pStyle w:val="Heading1"/>
        <w:keepNext/>
        <w:keepLines/>
      </w:pPr>
      <w:r>
        <w:t>2. Périmètre et méthode de lecture</w:t>
      </w:r>
    </w:p>
    <w:p>
      <w:pPr>
        <w:keepLines/>
      </w:pPr>
      <w:r>
        <w:rPr>
          <w:rFonts w:ascii="Calibri" w:hAnsi="Calibri" w:eastAsia="Calibri"/>
          <w:i w:val="0"/>
          <w:color w:val="17202A"/>
        </w:rPr>
        <w:t>Cet audit décrit le produit tel qu’il est représenté dans l’application actuelle, sur mobile et sur le web. Il couvre les écrans, les enchaînements de parcours, les règles de déblocage, les crédits, les abonnements, les achats, la communauté et les fonctions encore incomplètes.</w:t>
      </w:r>
    </w:p>
    <w:p>
      <w:pPr>
        <w:keepLines/>
      </w:pPr>
      <w:r>
        <w:rPr>
          <w:rFonts w:ascii="Calibri" w:hAnsi="Calibri" w:eastAsia="Calibri"/>
          <w:i w:val="0"/>
          <w:color w:val="17202A"/>
        </w:rPr>
        <w:t>L’analyse inclut les modifications présentes dans l’espace de travail au 25 août 2026. Elle ne constitue pas une recette complète en conditions réelles : le catalogue Stripe en production, la qualité des générations externes et les comportements sur les stores n’ont pas été vérifiés depuis un compte client réel.</w:t>
      </w:r>
    </w:p>
    <w:tbl>
      <w:tblPr>
        <w:tblW w:type="dxa" w:w="9360"/>
        <w:jc w:val="left"/>
        <w:tblLayout w:type="fixed"/>
        <w:tblLook w:firstColumn="1" w:firstRow="1" w:lastColumn="0" w:lastRow="0" w:noHBand="0" w:noVBand="1" w:val="04A0"/>
        <w:tblInd w:w="120" w:type="dxa"/>
        <w:tblBorders>
          <w:top w:val="single" w:sz="4" w:space="0" w:color="F4F6F9"/>
          <w:left w:val="single" w:sz="4" w:space="0" w:color="F4F6F9"/>
          <w:bottom w:val="single" w:sz="4" w:space="0" w:color="F4F6F9"/>
          <w:right w:val="single" w:sz="4" w:space="0" w:color="F4F6F9"/>
          <w:insideH w:val="single" w:sz="4" w:space="0" w:color="F4F6F9"/>
          <w:insideV w:val="single" w:sz="4" w:space="0" w:color="F4F6F9"/>
        </w:tblBorders>
      </w:tblPr>
      <w:tblGrid>
        <w:gridCol w:w="9360"/>
      </w:tblGrid>
      <w:tr>
        <w:tc>
          <w:tcPr>
            <w:tcW w:type="dxa" w:w="9360"/>
            <w:tcMar>
              <w:top w:w="80" w:type="dxa"/>
              <w:start w:w="120" w:type="dxa"/>
              <w:bottom w:w="80" w:type="dxa"/>
              <w:end w:w="120" w:type="dxa"/>
            </w:tcMar>
            <w:vAlign w:val="center"/>
            <w:shd w:fill="F4F6F9" w:val="clear"/>
          </w:tcPr>
          <w:p>
            <w:pPr>
              <w:spacing w:before="40" w:after="40" w:line="264" w:lineRule="auto"/>
            </w:pPr>
            <w:r>
              <w:rPr>
                <w:rFonts w:ascii="Calibri" w:hAnsi="Calibri" w:eastAsia="Calibri"/>
                <w:b/>
                <w:color w:val="5B6573"/>
              </w:rPr>
              <w:t xml:space="preserve">Niveau de confiance  </w:t>
            </w:r>
            <w:r>
              <w:rPr>
                <w:rFonts w:ascii="Calibri" w:hAnsi="Calibri" w:eastAsia="Calibri"/>
                <w:color w:val="17202A"/>
              </w:rPr>
              <w:t>Les parcours et règles visibles dans l’app sont confirmés. Les montants qui dépendent de la configuration Stripe sont signalés comme “à vérifier en production”.</w:t>
            </w:r>
          </w:p>
        </w:tc>
      </w:tr>
    </w:tbl>
    <w:p>
      <w:pPr>
        <w:spacing w:after="40"/>
      </w:pPr>
    </w:p>
    <w:p>
      <w:pPr>
        <w:pStyle w:val="Heading1"/>
        <w:keepNext/>
        <w:keepLines/>
      </w:pPr>
      <w:r>
        <w:t>3. Comment l’application fonctionne aujourd’hui</w:t>
      </w:r>
    </w:p>
    <w:p>
      <w:pPr>
        <w:pStyle w:val="Heading2"/>
        <w:keepNext/>
        <w:keepLines/>
      </w:pPr>
      <w:r>
        <w:t>3.1 Vue d’ensemble</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1800"/>
        <w:gridCol w:w="4860"/>
        <w:gridCol w:w="2700"/>
      </w:tblGrid>
      <w:tr>
        <w:trPr>
          <w:tblHeader w:val="true"/>
        </w:trPr>
        <w:tc>
          <w:tcPr>
            <w:tcW w:type="dxa" w:w="18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Espace</w:t>
            </w:r>
          </w:p>
        </w:tc>
        <w:tc>
          <w:tcPr>
            <w:tcW w:type="dxa" w:w="48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Rôle pour l’utilisateur</w:t>
            </w:r>
          </w:p>
        </w:tc>
        <w:tc>
          <w:tcPr>
            <w:tcW w:type="dxa" w:w="27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État actuel</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Menu / Accueil</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Choisir un projet et avancer dans les 4 étapes de création.</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Streaming</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Écouter les chansons, rechercher et consulter les classements.</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Playback</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Voir les performances publiées et leur classement.</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Librairie</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Retrouver ses créations, favoris, playbacks et playlists.</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Partiel : clips non alimentés</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Profil</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Gérer identité, abonnements, crédits, historique, langue et notifications.</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 avec incohérences d’offre</w:t>
            </w:r>
          </w:p>
        </w:tc>
      </w:tr>
      <w:tr>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Club MusicLand</w:t>
            </w:r>
          </w:p>
        </w:tc>
        <w:tc>
          <w:tcPr>
            <w:tcW w:type="dxa" w:w="48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Accéder aux abonnements, avantages et crédits.</w:t>
            </w:r>
          </w:p>
        </w:tc>
        <w:tc>
          <w:tcPr>
            <w:tcW w:type="dxa" w:w="27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 côté paiement, règles à stabiliser</w:t>
            </w:r>
          </w:p>
        </w:tc>
      </w:tr>
    </w:tbl>
    <w:p>
      <w:pPr>
        <w:spacing w:before="0" w:after="40"/>
      </w:pPr>
    </w:p>
    <w:p>
      <w:pPr>
        <w:pStyle w:val="Heading2"/>
        <w:keepNext/>
        <w:keepLines/>
      </w:pPr>
      <w:r>
        <w:t>3.2 Parcours d’inscription</w:t>
      </w:r>
    </w:p>
    <w:p>
      <w:pPr>
        <w:pStyle w:val="AuditNumber"/>
        <w:numPr>
          <w:ilvl w:val="0"/>
          <w:numId w:val="51"/>
        </w:numPr>
        <w:keepLines/>
      </w:pPr>
      <w:r>
        <w:rPr>
          <w:rFonts w:ascii="Calibri" w:hAnsi="Calibri" w:eastAsia="Calibri"/>
          <w:color w:val="17202A"/>
        </w:rPr>
        <w:t>Choix de la langue française ou anglaise.</w:t>
      </w:r>
    </w:p>
    <w:p>
      <w:pPr>
        <w:pStyle w:val="AuditNumber"/>
        <w:numPr>
          <w:ilvl w:val="0"/>
          <w:numId w:val="51"/>
        </w:numPr>
        <w:keepLines/>
      </w:pPr>
      <w:r>
        <w:rPr>
          <w:rFonts w:ascii="Calibri" w:hAnsi="Calibri" w:eastAsia="Calibri"/>
          <w:color w:val="17202A"/>
        </w:rPr>
        <w:t>Lecture éventuelle d’une vidéo d’introduction.</w:t>
      </w:r>
    </w:p>
    <w:p>
      <w:pPr>
        <w:pStyle w:val="AuditNumber"/>
        <w:numPr>
          <w:ilvl w:val="0"/>
          <w:numId w:val="51"/>
        </w:numPr>
        <w:keepLines/>
      </w:pPr>
      <w:r>
        <w:rPr>
          <w:rFonts w:ascii="Calibri" w:hAnsi="Calibri" w:eastAsia="Calibri"/>
          <w:color w:val="17202A"/>
        </w:rPr>
        <w:t>Création du compte par e-mail, Google ou Apple.</w:t>
      </w:r>
    </w:p>
    <w:p>
      <w:pPr>
        <w:pStyle w:val="AuditNumber"/>
        <w:numPr>
          <w:ilvl w:val="0"/>
          <w:numId w:val="51"/>
        </w:numPr>
        <w:keepLines/>
      </w:pPr>
      <w:r>
        <w:rPr>
          <w:rFonts w:ascii="Calibri" w:hAnsi="Calibri" w:eastAsia="Calibri"/>
          <w:color w:val="17202A"/>
        </w:rPr>
        <w:t>Pour l’e-mail : prénom, nom, adresse, date de naissance, mot de passe et acceptation des CGU.</w:t>
      </w:r>
    </w:p>
    <w:p>
      <w:pPr>
        <w:pStyle w:val="AuditNumber"/>
        <w:numPr>
          <w:ilvl w:val="0"/>
          <w:numId w:val="51"/>
        </w:numPr>
        <w:keepLines/>
      </w:pPr>
      <w:r>
        <w:rPr>
          <w:rFonts w:ascii="Calibri" w:hAnsi="Calibri" w:eastAsia="Calibri"/>
          <w:color w:val="17202A"/>
        </w:rPr>
        <w:t>Attribution de 10 crédits de bienvenue lors de la création du profil.</w:t>
      </w:r>
    </w:p>
    <w:p>
      <w:pPr>
        <w:pStyle w:val="AuditNumber"/>
        <w:numPr>
          <w:ilvl w:val="0"/>
          <w:numId w:val="51"/>
        </w:numPr>
        <w:keepLines/>
      </w:pPr>
      <w:r>
        <w:rPr>
          <w:rFonts w:ascii="Calibri" w:hAnsi="Calibri" w:eastAsia="Calibri"/>
          <w:color w:val="17202A"/>
        </w:rPr>
        <w:t>Choix de l’expérience initiale : “Création” ou “Écoute”.</w:t>
      </w:r>
    </w:p>
    <w:p>
      <w:pPr>
        <w:keepLines/>
      </w:pPr>
      <w:r>
        <w:rPr>
          <w:rFonts w:ascii="Calibri" w:hAnsi="Calibri" w:eastAsia="Calibri"/>
          <w:i w:val="0"/>
          <w:color w:val="17202A"/>
        </w:rPr>
        <w:t>Le choix “Création” ouvre d’abord les offres d’abonnement, mais permet de continuer avec les 10 crédits offerts. Le choix “Écoute” dirige également vers les offres et ne permet pas actuellement de passer gratuitement, sauf pendant une période de lancement qui n’est pas configurée. Après cette étape, l’utilisateur peut néanmoins naviguer librement entre création et écoute.</w:t>
      </w:r>
    </w:p>
    <w:tbl>
      <w:tblPr>
        <w:tblW w:type="dxa" w:w="9360"/>
        <w:jc w:val="left"/>
        <w:tblLayout w:type="fixed"/>
        <w:tblLook w:firstColumn="1" w:firstRow="1" w:lastColumn="0" w:lastRow="0" w:noHBand="0" w:noVBand="1" w:val="04A0"/>
        <w:tblInd w:w="120" w:type="dxa"/>
        <w:tblBorders>
          <w:top w:val="single" w:sz="4" w:space="0" w:color="FFF5D6"/>
          <w:left w:val="single" w:sz="4" w:space="0" w:color="FFF5D6"/>
          <w:bottom w:val="single" w:sz="4" w:space="0" w:color="FFF5D6"/>
          <w:right w:val="single" w:sz="4" w:space="0" w:color="FFF5D6"/>
          <w:insideH w:val="single" w:sz="4" w:space="0" w:color="FFF5D6"/>
          <w:insideV w:val="single" w:sz="4" w:space="0" w:color="FFF5D6"/>
        </w:tblBorders>
      </w:tblPr>
      <w:tblGrid>
        <w:gridCol w:w="9360"/>
      </w:tblGrid>
      <w:tr>
        <w:tc>
          <w:tcPr>
            <w:tcW w:type="dxa" w:w="9360"/>
            <w:tcMar>
              <w:top w:w="80" w:type="dxa"/>
              <w:start w:w="120" w:type="dxa"/>
              <w:bottom w:w="80" w:type="dxa"/>
              <w:end w:w="120" w:type="dxa"/>
            </w:tcMar>
            <w:vAlign w:val="center"/>
            <w:shd w:fill="FFF5D6" w:val="clear"/>
          </w:tcPr>
          <w:p>
            <w:pPr>
              <w:spacing w:before="40" w:after="40" w:line="264" w:lineRule="auto"/>
            </w:pPr>
            <w:r>
              <w:rPr>
                <w:rFonts w:ascii="Calibri" w:hAnsi="Calibri" w:eastAsia="Calibri"/>
                <w:b/>
                <w:color w:val="7A5A00"/>
              </w:rPr>
              <w:t xml:space="preserve">Point de friction  </w:t>
            </w:r>
            <w:r>
              <w:rPr>
                <w:rFonts w:ascii="Calibri" w:hAnsi="Calibri" w:eastAsia="Calibri"/>
                <w:color w:val="17202A"/>
              </w:rPr>
              <w:t>Le message “Que veux-tu faire en premier ?” ressemble à un simple choix d’orientation, mais le chemin Écoute devient en pratique un passage par l’abonnement. Cette conséquence doit être annoncée avant le clic.</w:t>
            </w:r>
          </w:p>
        </w:tc>
      </w:tr>
    </w:tbl>
    <w:p>
      <w:pPr>
        <w:spacing w:after="40"/>
      </w:pPr>
    </w:p>
    <w:p>
      <w:pPr>
        <w:pStyle w:val="Heading2"/>
        <w:keepNext/>
        <w:keepLines/>
      </w:pPr>
      <w:r>
        <w:t>3.3 Parcours principal de création</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1320"/>
        <w:gridCol w:w="3560"/>
        <w:gridCol w:w="2680"/>
        <w:gridCol w:w="1800"/>
      </w:tblGrid>
      <w:tr>
        <w:trPr>
          <w:tblHeader w:val="true"/>
        </w:trPr>
        <w:tc>
          <w:tcPr>
            <w:tcW w:type="dxa" w:w="132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Étape</w:t>
            </w:r>
          </w:p>
        </w:tc>
        <w:tc>
          <w:tcPr>
            <w:tcW w:type="dxa" w:w="35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Ce que fait l’utilisateur</w:t>
            </w:r>
          </w:p>
        </w:tc>
        <w:tc>
          <w:tcPr>
            <w:tcW w:type="dxa" w:w="268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Condition de déblocage</w:t>
            </w:r>
          </w:p>
        </w:tc>
        <w:tc>
          <w:tcPr>
            <w:tcW w:type="dxa" w:w="18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Coût actuel</w:t>
            </w:r>
          </w:p>
        </w:tc>
      </w:tr>
      <w:tr>
        <w:tc>
          <w:tcPr>
            <w:tcW w:type="dxa" w:w="132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 · Paroles</w:t>
            </w:r>
          </w:p>
        </w:tc>
        <w:tc>
          <w:tcPr>
            <w:tcW w:type="dxa" w:w="35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Répond à 8 questions, génère et édite ses paroles, ajoute un titre.</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Toujours disponible sur un nouveau projet.</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0 crédit</w:t>
            </w:r>
          </w:p>
        </w:tc>
      </w:tr>
      <w:tr>
        <w:tc>
          <w:tcPr>
            <w:tcW w:type="dxa" w:w="132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2 · Studio</w:t>
            </w:r>
          </w:p>
        </w:tc>
        <w:tc>
          <w:tcPr>
            <w:tcW w:type="dxa" w:w="35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Choisit genre, voix, instruments et rythme ; reçoit 2 morceaux.</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Paroles créées.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8 crédits par génération</w:t>
            </w:r>
          </w:p>
        </w:tc>
      </w:tr>
      <w:tr>
        <w:tc>
          <w:tcPr>
            <w:tcW w:type="dxa" w:w="132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Pochette</w:t>
            </w:r>
          </w:p>
        </w:tc>
        <w:tc>
          <w:tcPr>
            <w:tcW w:type="dxa" w:w="35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Confirme son nom d’artiste et valide une pochette MusicLand.</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Un morceau a été choisi.</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0 crédit</w:t>
            </w:r>
          </w:p>
        </w:tc>
      </w:tr>
      <w:tr>
        <w:tc>
          <w:tcPr>
            <w:tcW w:type="dxa" w:w="132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3 · Playback</w:t>
            </w:r>
          </w:p>
        </w:tc>
        <w:tc>
          <w:tcPr>
            <w:tcW w:type="dxa" w:w="35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Choisit le live caméra ou une vidéo IA à partir d’une photo.</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Pochette validée.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0 crédit actuellement</w:t>
            </w:r>
          </w:p>
        </w:tc>
      </w:tr>
      <w:tr>
        <w:tc>
          <w:tcPr>
            <w:tcW w:type="dxa" w:w="132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4 · Publication</w:t>
            </w:r>
          </w:p>
        </w:tc>
        <w:tc>
          <w:tcPr>
            <w:tcW w:type="dxa" w:w="35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Publie le playback dans MusicLand puis tente l’envoi YouTube.</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Playback finalisé.</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0 crédit</w:t>
            </w:r>
          </w:p>
        </w:tc>
      </w:tr>
    </w:tbl>
    <w:p>
      <w:pPr>
        <w:spacing w:before="0" w:after="40"/>
      </w:pPr>
    </w:p>
    <w:p>
      <w:pPr>
        <w:pStyle w:val="Heading3"/>
        <w:keepNext/>
        <w:keepLines/>
      </w:pPr>
      <w:r>
        <w:t>Étape 1 — Écriture des paroles</w:t>
      </w:r>
    </w:p>
    <w:p>
      <w:pPr>
        <w:keepLines/>
      </w:pPr>
      <w:r>
        <w:rPr>
          <w:rFonts w:ascii="Calibri" w:hAnsi="Calibri" w:eastAsia="Calibri"/>
          <w:i w:val="0"/>
          <w:color w:val="17202A"/>
        </w:rPr>
        <w:t>L’utilisateur est guidé à travers une série de choix : objectif de la chanson, contexte, émotion, style, destinataire, structure, personnalisation de la structure et rimes. Les paroles sont ensuite générées, enregistrées dans le projet et restent éditables avant la validation du titre.</w:t>
      </w:r>
    </w:p>
    <w:p>
      <w:pPr>
        <w:pStyle w:val="AuditBullet"/>
        <w:numPr>
          <w:ilvl w:val="0"/>
          <w:numId w:val="50"/>
        </w:numPr>
        <w:keepLines/>
      </w:pPr>
      <w:r>
        <w:rPr>
          <w:rFonts w:ascii="Calibri" w:hAnsi="Calibri" w:eastAsia="Calibri"/>
          <w:b/>
          <w:color w:val="17202A"/>
        </w:rPr>
        <w:t>La génération de paroles</w:t>
      </w:r>
      <w:r>
        <w:rPr>
          <w:rFonts w:ascii="Calibri" w:hAnsi="Calibri" w:eastAsia="Calibri"/>
          <w:color w:val="17202A"/>
        </w:rPr>
        <w:t xml:space="preserve"> n’utilise aucun crédit.</w:t>
      </w:r>
    </w:p>
    <w:p>
      <w:pPr>
        <w:pStyle w:val="AuditBullet"/>
        <w:numPr>
          <w:ilvl w:val="0"/>
          <w:numId w:val="50"/>
        </w:numPr>
        <w:keepLines/>
      </w:pPr>
      <w:r>
        <w:rPr>
          <w:rFonts w:ascii="Calibri" w:hAnsi="Calibri" w:eastAsia="Calibri"/>
          <w:b/>
          <w:color w:val="17202A"/>
        </w:rPr>
        <w:t>L’expérience est très guidée</w:t>
      </w:r>
      <w:r>
        <w:rPr>
          <w:rFonts w:ascii="Calibri" w:hAnsi="Calibri" w:eastAsia="Calibri"/>
          <w:color w:val="17202A"/>
        </w:rPr>
        <w:t xml:space="preserve"> et limite le risque de page blanche.</w:t>
      </w:r>
    </w:p>
    <w:p>
      <w:pPr>
        <w:pStyle w:val="AuditBullet"/>
        <w:numPr>
          <w:ilvl w:val="0"/>
          <w:numId w:val="50"/>
        </w:numPr>
        <w:keepLines/>
      </w:pPr>
      <w:r>
        <w:rPr>
          <w:rFonts w:ascii="Calibri" w:hAnsi="Calibri" w:eastAsia="Calibri"/>
          <w:b/>
          <w:color w:val="17202A"/>
        </w:rPr>
        <w:t>Une fois un morceau final choisi,</w:t>
      </w:r>
      <w:r>
        <w:rPr>
          <w:rFonts w:ascii="Calibri" w:hAnsi="Calibri" w:eastAsia="Calibri"/>
          <w:color w:val="17202A"/>
        </w:rPr>
        <w:t xml:space="preserve"> l’étape d’écriture devient verrouillée depuis l’accueil.</w:t>
      </w:r>
    </w:p>
    <w:p>
      <w:pPr>
        <w:pStyle w:val="Heading3"/>
        <w:keepNext/>
        <w:keepLines/>
      </w:pPr>
      <w:r>
        <w:t>Étape 2 — Mise en musique</w:t>
      </w:r>
    </w:p>
    <w:p>
      <w:pPr>
        <w:keepLines/>
      </w:pPr>
      <w:r>
        <w:rPr>
          <w:rFonts w:ascii="Calibri" w:hAnsi="Calibri" w:eastAsia="Calibri"/>
          <w:i w:val="0"/>
          <w:color w:val="17202A"/>
        </w:rPr>
        <w:t>L’utilisateur choisit un ou plusieurs genres, une voix de base, des nuances facultatives, des instruments et un rythme. Une confirmation affiche le coût, le solde disponible et demande l’accord avant de lancer la génération.</w:t>
      </w:r>
    </w:p>
    <w:p>
      <w:pPr>
        <w:pStyle w:val="AuditBullet"/>
        <w:numPr>
          <w:ilvl w:val="0"/>
          <w:numId w:val="50"/>
        </w:numPr>
        <w:keepLines/>
      </w:pPr>
      <w:r>
        <w:rPr>
          <w:rFonts w:ascii="Calibri" w:hAnsi="Calibri" w:eastAsia="Calibri"/>
          <w:b/>
          <w:color w:val="17202A"/>
        </w:rPr>
        <w:t>Chaque lancement coûte 8 crédits</w:t>
      </w:r>
      <w:r>
        <w:rPr>
          <w:rFonts w:ascii="Calibri" w:hAnsi="Calibri" w:eastAsia="Calibri"/>
          <w:color w:val="17202A"/>
        </w:rPr>
        <w:t xml:space="preserve"> et produit 2 propositions musicales.</w:t>
      </w:r>
    </w:p>
    <w:p>
      <w:pPr>
        <w:pStyle w:val="AuditBullet"/>
        <w:numPr>
          <w:ilvl w:val="0"/>
          <w:numId w:val="50"/>
        </w:numPr>
        <w:keepLines/>
      </w:pPr>
      <w:r>
        <w:rPr>
          <w:rFonts w:ascii="Calibri" w:hAnsi="Calibri" w:eastAsia="Calibri"/>
          <w:b/>
          <w:color w:val="17202A"/>
        </w:rPr>
        <w:t>Une nouvelle génération</w:t>
      </w:r>
      <w:r>
        <w:rPr>
          <w:rFonts w:ascii="Calibri" w:hAnsi="Calibri" w:eastAsia="Calibri"/>
          <w:color w:val="17202A"/>
        </w:rPr>
        <w:t xml:space="preserve"> coûte à nouveau 8 crédits.</w:t>
      </w:r>
    </w:p>
    <w:p>
      <w:pPr>
        <w:pStyle w:val="AuditBullet"/>
        <w:numPr>
          <w:ilvl w:val="0"/>
          <w:numId w:val="50"/>
        </w:numPr>
        <w:keepLines/>
      </w:pPr>
      <w:r>
        <w:rPr>
          <w:rFonts w:ascii="Calibri" w:hAnsi="Calibri" w:eastAsia="Calibri"/>
          <w:b/>
          <w:color w:val="17202A"/>
        </w:rPr>
        <w:t>En cas d’échec confirmé</w:t>
      </w:r>
      <w:r>
        <w:rPr>
          <w:rFonts w:ascii="Calibri" w:hAnsi="Calibri" w:eastAsia="Calibri"/>
          <w:color w:val="17202A"/>
        </w:rPr>
        <w:t xml:space="preserve"> de la génération, les 8 crédits peuvent être remboursés automatiquement.</w:t>
      </w:r>
    </w:p>
    <w:p>
      <w:pPr>
        <w:pStyle w:val="AuditBullet"/>
        <w:numPr>
          <w:ilvl w:val="0"/>
          <w:numId w:val="50"/>
        </w:numPr>
        <w:keepLines/>
      </w:pPr>
      <w:r>
        <w:rPr>
          <w:rFonts w:ascii="Calibri" w:hAnsi="Calibri" w:eastAsia="Calibri"/>
          <w:b/>
          <w:color w:val="17202A"/>
        </w:rPr>
        <w:t>Après validation d’un morceau,</w:t>
      </w:r>
      <w:r>
        <w:rPr>
          <w:rFonts w:ascii="Calibri" w:hAnsi="Calibri" w:eastAsia="Calibri"/>
          <w:color w:val="17202A"/>
        </w:rPr>
        <w:t xml:space="preserve"> les paroles et la mélodie ne sont plus modifiables depuis le parcours normal.</w:t>
      </w:r>
    </w:p>
    <w:p>
      <w:pPr>
        <w:pStyle w:val="Heading3"/>
        <w:keepNext/>
        <w:keepLines/>
      </w:pPr>
      <w:r>
        <w:t>Pochette</w:t>
      </w:r>
    </w:p>
    <w:p>
      <w:pPr>
        <w:keepLines/>
      </w:pPr>
      <w:r>
        <w:rPr>
          <w:rFonts w:ascii="Calibri" w:hAnsi="Calibri" w:eastAsia="Calibri"/>
          <w:i w:val="0"/>
          <w:color w:val="17202A"/>
        </w:rPr>
        <w:t>L’application demande d’abord le nom public à afficher : prénom/nom ou nom d’artiste. La pochette actuelle est principalement un modèle MusicLand basé sur la photo de profil et le nom de l’artiste. Plusieurs anciens écrans de choix ou de génération existent encore, mais le parcours principal propose surtout “Voir ma pochette” puis “Valider la pochette”.</w:t>
      </w:r>
    </w:p>
    <w:tbl>
      <w:tblPr>
        <w:tblW w:type="dxa" w:w="9360"/>
        <w:jc w:val="left"/>
        <w:tblLayout w:type="fixed"/>
        <w:tblLook w:firstColumn="1" w:firstRow="1" w:lastColumn="0" w:lastRow="0" w:noHBand="0" w:noVBand="1" w:val="04A0"/>
        <w:tblInd w:w="120" w:type="dxa"/>
        <w:tblBorders>
          <w:top w:val="single" w:sz="4" w:space="0" w:color="FFF5D6"/>
          <w:left w:val="single" w:sz="4" w:space="0" w:color="FFF5D6"/>
          <w:bottom w:val="single" w:sz="4" w:space="0" w:color="FFF5D6"/>
          <w:right w:val="single" w:sz="4" w:space="0" w:color="FFF5D6"/>
          <w:insideH w:val="single" w:sz="4" w:space="0" w:color="FFF5D6"/>
          <w:insideV w:val="single" w:sz="4" w:space="0" w:color="FFF5D6"/>
        </w:tblBorders>
      </w:tblPr>
      <w:tblGrid>
        <w:gridCol w:w="9360"/>
      </w:tblGrid>
      <w:tr>
        <w:tc>
          <w:tcPr>
            <w:tcW w:type="dxa" w:w="9360"/>
            <w:tcMar>
              <w:top w:w="80" w:type="dxa"/>
              <w:start w:w="120" w:type="dxa"/>
              <w:bottom w:w="80" w:type="dxa"/>
              <w:end w:w="120" w:type="dxa"/>
            </w:tcMar>
            <w:vAlign w:val="center"/>
            <w:shd w:fill="FFF5D6" w:val="clear"/>
          </w:tcPr>
          <w:p>
            <w:pPr>
              <w:spacing w:before="40" w:after="40" w:line="264" w:lineRule="auto"/>
            </w:pPr>
            <w:r>
              <w:rPr>
                <w:rFonts w:ascii="Calibri" w:hAnsi="Calibri" w:eastAsia="Calibri"/>
                <w:b/>
                <w:color w:val="7A5A00"/>
              </w:rPr>
              <w:t xml:space="preserve">À clarifier  </w:t>
            </w:r>
            <w:r>
              <w:rPr>
                <w:rFonts w:ascii="Calibri" w:hAnsi="Calibri" w:eastAsia="Calibri"/>
                <w:color w:val="17202A"/>
              </w:rPr>
              <w:t>Si la personnalisation de pochette est une promesse produit, elle reste limitée dans le parcours actuel. Sinon, présenter cette étape comme une pochette officielle automatique évitera une attente de choix créatif plus large.</w:t>
            </w:r>
          </w:p>
        </w:tc>
      </w:tr>
    </w:tbl>
    <w:p>
      <w:pPr>
        <w:spacing w:after="40"/>
      </w:pPr>
    </w:p>
    <w:p>
      <w:pPr>
        <w:pStyle w:val="Heading3"/>
        <w:keepNext/>
        <w:keepLines/>
      </w:pPr>
      <w:r>
        <w:t>Étape 3 — Playback live ou IA</w:t>
      </w:r>
    </w:p>
    <w:p>
      <w:pPr>
        <w:keepLines/>
      </w:pPr>
      <w:r>
        <w:rPr>
          <w:rFonts w:ascii="Calibri" w:hAnsi="Calibri" w:eastAsia="Calibri"/>
          <w:i w:val="0"/>
          <w:color w:val="17202A"/>
        </w:rPr>
        <w:t>Deux chemins sont proposés. Le playback live permet de se filmer, de revoir l’enregistrement et de fusionner la vidéo avec la musique. Le playback IA permet de sélectionner une photo portrait ; une vidéo verticale 9:16 est ensuite générée, affichée en brouillon puis validée.</w:t>
      </w:r>
    </w:p>
    <w:p>
      <w:pPr>
        <w:pStyle w:val="AuditBullet"/>
        <w:numPr>
          <w:ilvl w:val="0"/>
          <w:numId w:val="50"/>
        </w:numPr>
        <w:keepLines/>
      </w:pPr>
      <w:r>
        <w:rPr>
          <w:rFonts w:ascii="Calibri" w:hAnsi="Calibri" w:eastAsia="Calibri"/>
          <w:b/>
          <w:color w:val="17202A"/>
        </w:rPr>
        <w:t>Le playback live</w:t>
      </w:r>
      <w:r>
        <w:rPr>
          <w:rFonts w:ascii="Calibri" w:hAnsi="Calibri" w:eastAsia="Calibri"/>
          <w:color w:val="17202A"/>
        </w:rPr>
        <w:t xml:space="preserve"> ne donne pas encore de bonus de crédits.</w:t>
      </w:r>
    </w:p>
    <w:p>
      <w:pPr>
        <w:pStyle w:val="AuditBullet"/>
        <w:numPr>
          <w:ilvl w:val="0"/>
          <w:numId w:val="50"/>
        </w:numPr>
        <w:keepLines/>
      </w:pPr>
      <w:r>
        <w:rPr>
          <w:rFonts w:ascii="Calibri" w:hAnsi="Calibri" w:eastAsia="Calibri"/>
          <w:b/>
          <w:color w:val="17202A"/>
        </w:rPr>
        <w:t>Le playback IA</w:t>
      </w:r>
      <w:r>
        <w:rPr>
          <w:rFonts w:ascii="Calibri" w:hAnsi="Calibri" w:eastAsia="Calibri"/>
          <w:color w:val="17202A"/>
        </w:rPr>
        <w:t xml:space="preserve"> ne débite actuellement aucun crédit.</w:t>
      </w:r>
    </w:p>
    <w:p>
      <w:pPr>
        <w:pStyle w:val="AuditBullet"/>
        <w:numPr>
          <w:ilvl w:val="0"/>
          <w:numId w:val="50"/>
        </w:numPr>
        <w:keepLines/>
      </w:pPr>
      <w:r>
        <w:rPr>
          <w:rFonts w:ascii="Calibri" w:hAnsi="Calibri" w:eastAsia="Calibri"/>
          <w:b/>
          <w:color w:val="17202A"/>
        </w:rPr>
        <w:t>La photo est demandée</w:t>
      </w:r>
      <w:r>
        <w:rPr>
          <w:rFonts w:ascii="Calibri" w:hAnsi="Calibri" w:eastAsia="Calibri"/>
          <w:color w:val="17202A"/>
        </w:rPr>
        <w:t xml:space="preserve"> sans case de consentement spécifique ni rappel explicite sur les photos de tiers ou de célébrités.</w:t>
      </w:r>
    </w:p>
    <w:p>
      <w:pPr>
        <w:pStyle w:val="AuditBullet"/>
        <w:numPr>
          <w:ilvl w:val="0"/>
          <w:numId w:val="50"/>
        </w:numPr>
        <w:keepLines/>
      </w:pPr>
      <w:r>
        <w:rPr>
          <w:rFonts w:ascii="Calibri" w:hAnsi="Calibri" w:eastAsia="Calibri"/>
          <w:b/>
          <w:color w:val="17202A"/>
        </w:rPr>
        <w:t>Quand une génération IA</w:t>
      </w:r>
      <w:r>
        <w:rPr>
          <w:rFonts w:ascii="Calibri" w:hAnsi="Calibri" w:eastAsia="Calibri"/>
          <w:color w:val="17202A"/>
        </w:rPr>
        <w:t xml:space="preserve"> est en cours ou attend une validation, le chemin live est bloqué.</w:t>
      </w:r>
    </w:p>
    <w:p>
      <w:pPr>
        <w:pStyle w:val="AuditBullet"/>
        <w:numPr>
          <w:ilvl w:val="0"/>
          <w:numId w:val="50"/>
        </w:numPr>
        <w:keepLines/>
      </w:pPr>
      <w:r>
        <w:rPr>
          <w:rFonts w:ascii="Calibri" w:hAnsi="Calibri" w:eastAsia="Calibri"/>
          <w:b/>
          <w:color w:val="17202A"/>
        </w:rPr>
        <w:t>L’utilisateur peut quitter</w:t>
      </w:r>
      <w:r>
        <w:rPr>
          <w:rFonts w:ascii="Calibri" w:hAnsi="Calibri" w:eastAsia="Calibri"/>
          <w:color w:val="17202A"/>
        </w:rPr>
        <w:t xml:space="preserve"> l’écran de génération et revenir plus tard ; une notification est annoncée lorsque la vidéo est prête.</w:t>
      </w:r>
    </w:p>
    <w:p>
      <w:pPr>
        <w:pStyle w:val="Heading3"/>
        <w:keepNext/>
        <w:keepLines/>
      </w:pPr>
      <w:r>
        <w:t>Étape 4 — Publication et téléchargement</w:t>
      </w:r>
    </w:p>
    <w:p>
      <w:pPr>
        <w:keepLines/>
      </w:pPr>
      <w:r>
        <w:rPr>
          <w:rFonts w:ascii="Calibri" w:hAnsi="Calibri" w:eastAsia="Calibri"/>
          <w:i w:val="0"/>
          <w:color w:val="17202A"/>
        </w:rPr>
        <w:t>La validation du playback sauvegarde sa vidéo dans le projet, ce qui le rend visible dans l’espace Playback. L’utilisateur accepte la diffusion sur MusicLand, puis arrive sur un écran de publication YouTube avec une seconde confirmation.</w:t>
      </w:r>
    </w:p>
    <w:p>
      <w:pPr>
        <w:pStyle w:val="AuditBullet"/>
        <w:numPr>
          <w:ilvl w:val="0"/>
          <w:numId w:val="50"/>
        </w:numPr>
        <w:keepLines/>
      </w:pPr>
      <w:r>
        <w:rPr>
          <w:rFonts w:ascii="Calibri" w:hAnsi="Calibri" w:eastAsia="Calibri"/>
          <w:b/>
          <w:color w:val="17202A"/>
        </w:rPr>
        <w:t>Publication MusicLand :</w:t>
      </w:r>
      <w:r>
        <w:rPr>
          <w:rFonts w:ascii="Calibri" w:hAnsi="Calibri" w:eastAsia="Calibri"/>
          <w:color w:val="17202A"/>
        </w:rPr>
        <w:t xml:space="preserve"> le playback rejoint le feed à partir du moment où sa vidéo finale est enregistrée.</w:t>
      </w:r>
    </w:p>
    <w:p>
      <w:pPr>
        <w:pStyle w:val="AuditBullet"/>
        <w:numPr>
          <w:ilvl w:val="0"/>
          <w:numId w:val="50"/>
        </w:numPr>
        <w:keepLines/>
      </w:pPr>
      <w:r>
        <w:rPr>
          <w:rFonts w:ascii="Calibri" w:hAnsi="Calibri" w:eastAsia="Calibri"/>
          <w:b/>
          <w:color w:val="17202A"/>
        </w:rPr>
        <w:t>Publication YouTube :</w:t>
      </w:r>
      <w:r>
        <w:rPr>
          <w:rFonts w:ascii="Calibri" w:hAnsi="Calibri" w:eastAsia="Calibri"/>
          <w:color w:val="17202A"/>
        </w:rPr>
        <w:t xml:space="preserve"> l’écran et la confirmation existent, mais l’envoi réel est actuellement désactivé.</w:t>
      </w:r>
    </w:p>
    <w:p>
      <w:pPr>
        <w:pStyle w:val="AuditBullet"/>
        <w:numPr>
          <w:ilvl w:val="0"/>
          <w:numId w:val="50"/>
        </w:numPr>
        <w:keepLines/>
      </w:pPr>
      <w:r>
        <w:rPr>
          <w:rFonts w:ascii="Calibri" w:hAnsi="Calibri" w:eastAsia="Calibri"/>
          <w:b/>
          <w:color w:val="17202A"/>
        </w:rPr>
        <w:t>Téléchargement privé :</w:t>
      </w:r>
      <w:r>
        <w:rPr>
          <w:rFonts w:ascii="Calibri" w:hAnsi="Calibri" w:eastAsia="Calibri"/>
          <w:color w:val="17202A"/>
        </w:rPr>
        <w:t xml:space="preserve"> gratuit pour les abonnés ou vendu 1,99 € par morceau / playback dans le parcours principal.</w:t>
      </w:r>
    </w:p>
    <w:p>
      <w:pPr>
        <w:pStyle w:val="Heading1"/>
        <w:keepNext/>
        <w:keepLines/>
      </w:pPr>
      <w:r>
        <w:t>4. Le système de crédits actuel</w:t>
      </w:r>
    </w:p>
    <w:p>
      <w:pPr>
        <w:pStyle w:val="Heading2"/>
        <w:keepNext/>
        <w:keepLines/>
      </w:pPr>
      <w:r>
        <w:t>4.1 Règles confirmées dans le parcours</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2800"/>
        <w:gridCol w:w="1800"/>
        <w:gridCol w:w="4760"/>
      </w:tblGrid>
      <w:tr>
        <w:trPr>
          <w:tblHeader w:val="true"/>
        </w:trPr>
        <w:tc>
          <w:tcPr>
            <w:tcW w:type="dxa" w:w="28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Événement</w:t>
            </w:r>
          </w:p>
        </w:tc>
        <w:tc>
          <w:tcPr>
            <w:tcW w:type="dxa" w:w="18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Variation</w:t>
            </w:r>
          </w:p>
        </w:tc>
        <w:tc>
          <w:tcPr>
            <w:tcW w:type="dxa" w:w="47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Commentaire</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Création d’un compte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Bonus de bienvenue, une fois par profil.</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Génération des paroles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Aucun débit visible.</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Génération de 2 morceaux</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−8</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Débit confirmé avant le lancement.</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Échec de génération musicale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+8</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Remboursement lorsque l’échec est traité.</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Nouvelle génération musicale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−8</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Même coût que la première génération.</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Pochette MusicLand</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Aucun débit.</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Playback live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Aucun bonus actuellement.</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Playback IA</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Aucun débit actuellement.</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Publication / partage</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Aucun débit.</w:t>
            </w:r>
          </w:p>
        </w:tc>
      </w:tr>
      <w:tr>
        <w:tc>
          <w:tcPr>
            <w:tcW w:type="dxa" w:w="2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Téléchargement privé</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0 crédit / 1,99 €</w:t>
            </w:r>
          </w:p>
        </w:tc>
        <w:tc>
          <w:tcPr>
            <w:tcW w:type="dxa" w:w="47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Gratuit selon abonnement ou droit d’achat ; sinon paiement Stripe.</w:t>
            </w:r>
          </w:p>
        </w:tc>
      </w:tr>
    </w:tbl>
    <w:p>
      <w:pPr>
        <w:spacing w:before="0" w:after="40"/>
      </w:pPr>
    </w:p>
    <w:p>
      <w:pPr>
        <w:pStyle w:val="Heading2"/>
        <w:keepNext/>
        <w:keepLines/>
      </w:pPr>
      <w:r>
        <w:t>4.2 Ce qu’un nouvel utilisateur peut faire avec 10 crédits</w:t>
      </w:r>
    </w:p>
    <w:tbl>
      <w:tblPr>
        <w:tblW w:type="dxa" w:w="9360"/>
        <w:jc w:val="left"/>
        <w:tblLayout w:type="fixed"/>
        <w:tblLook w:firstColumn="1" w:firstRow="1" w:lastColumn="0" w:lastRow="0" w:noHBand="0" w:noVBand="1" w:val="04A0"/>
        <w:tblInd w:w="120" w:type="dxa"/>
        <w:tblBorders>
          <w:top w:val="single" w:sz="4" w:space="0" w:color="E8F4ED"/>
          <w:left w:val="single" w:sz="4" w:space="0" w:color="E8F4ED"/>
          <w:bottom w:val="single" w:sz="4" w:space="0" w:color="E8F4ED"/>
          <w:right w:val="single" w:sz="4" w:space="0" w:color="E8F4ED"/>
          <w:insideH w:val="single" w:sz="4" w:space="0" w:color="E8F4ED"/>
          <w:insideV w:val="single" w:sz="4" w:space="0" w:color="E8F4ED"/>
        </w:tblBorders>
      </w:tblPr>
      <w:tblGrid>
        <w:gridCol w:w="9360"/>
      </w:tblGrid>
      <w:tr>
        <w:tc>
          <w:tcPr>
            <w:tcW w:type="dxa" w:w="9360"/>
            <w:tcMar>
              <w:top w:w="80" w:type="dxa"/>
              <w:start w:w="120" w:type="dxa"/>
              <w:bottom w:w="80" w:type="dxa"/>
              <w:end w:w="120" w:type="dxa"/>
            </w:tcMar>
            <w:vAlign w:val="center"/>
            <w:shd w:fill="E8F4ED" w:val="clear"/>
          </w:tcPr>
          <w:p>
            <w:pPr>
              <w:spacing w:before="40" w:after="40" w:line="264" w:lineRule="auto"/>
            </w:pPr>
            <w:r>
              <w:rPr>
                <w:rFonts w:ascii="Calibri" w:hAnsi="Calibri" w:eastAsia="Calibri"/>
                <w:b/>
                <w:color w:val="256D46"/>
              </w:rPr>
              <w:t xml:space="preserve">Exemple simple  </w:t>
            </w:r>
            <w:r>
              <w:rPr>
                <w:rFonts w:ascii="Calibri" w:hAnsi="Calibri" w:eastAsia="Calibri"/>
                <w:color w:val="17202A"/>
              </w:rPr>
              <w:t>Un nouveau membre peut générer ses paroles gratuitement, dépenser 8 crédits pour obtenir 2 propositions musicales, valider une pochette et créer un playback. Il lui reste alors 2 crédits. Il ne peut pas relancer une deuxième génération musicale sans acheter ou recevoir au moins 6 crédits supplémentaires.</w:t>
            </w:r>
          </w:p>
        </w:tc>
      </w:tr>
    </w:tbl>
    <w:p>
      <w:pPr>
        <w:spacing w:after="40"/>
      </w:pP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6200"/>
        <w:gridCol w:w="3160"/>
      </w:tblGrid>
      <w:tr>
        <w:trPr>
          <w:tblHeader w:val="true"/>
        </w:trPr>
        <w:tc>
          <w:tcPr>
            <w:tcW w:type="dxa" w:w="62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Moment du parcours</w:t>
            </w:r>
          </w:p>
        </w:tc>
        <w:tc>
          <w:tcPr>
            <w:tcW w:type="dxa" w:w="31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Solde indicatif</w:t>
            </w:r>
          </w:p>
        </w:tc>
      </w:tr>
      <w:tr>
        <w:tc>
          <w:tcPr>
            <w:tcW w:type="dxa" w:w="6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Après inscription</w:t>
            </w:r>
          </w:p>
        </w:tc>
        <w:tc>
          <w:tcPr>
            <w:tcW w:type="dxa" w:w="3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10 crédits</w:t>
            </w:r>
          </w:p>
        </w:tc>
      </w:tr>
      <w:tr>
        <w:tc>
          <w:tcPr>
            <w:tcW w:type="dxa" w:w="6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Après les paroles</w:t>
            </w:r>
          </w:p>
        </w:tc>
        <w:tc>
          <w:tcPr>
            <w:tcW w:type="dxa" w:w="3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10 crédits</w:t>
            </w:r>
          </w:p>
        </w:tc>
      </w:tr>
      <w:tr>
        <w:tc>
          <w:tcPr>
            <w:tcW w:type="dxa" w:w="6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Après la première génération musicale</w:t>
            </w:r>
          </w:p>
        </w:tc>
        <w:tc>
          <w:tcPr>
            <w:tcW w:type="dxa" w:w="3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2 crédits</w:t>
            </w:r>
          </w:p>
        </w:tc>
      </w:tr>
      <w:tr>
        <w:tc>
          <w:tcPr>
            <w:tcW w:type="dxa" w:w="6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Après la pochette et un playback live ou IA</w:t>
            </w:r>
          </w:p>
        </w:tc>
        <w:tc>
          <w:tcPr>
            <w:tcW w:type="dxa" w:w="3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2 crédits</w:t>
            </w:r>
          </w:p>
        </w:tc>
      </w:tr>
      <w:tr>
        <w:tc>
          <w:tcPr>
            <w:tcW w:type="dxa" w:w="6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Après une tentative de régénération</w:t>
            </w:r>
          </w:p>
        </w:tc>
        <w:tc>
          <w:tcPr>
            <w:tcW w:type="dxa" w:w="3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Impossible sans recharge</w:t>
            </w:r>
          </w:p>
        </w:tc>
      </w:tr>
    </w:tbl>
    <w:p>
      <w:pPr>
        <w:spacing w:before="0" w:after="40"/>
      </w:pPr>
    </w:p>
    <w:p>
      <w:pPr>
        <w:pStyle w:val="Heading2"/>
        <w:keepNext/>
        <w:keepLines/>
      </w:pPr>
      <w:r>
        <w:t>4.3 Packs de crédits affichés</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3440"/>
        <w:gridCol w:w="2960"/>
        <w:gridCol w:w="2960"/>
      </w:tblGrid>
      <w:tr>
        <w:trPr>
          <w:tblHeader w:val="true"/>
        </w:trPr>
        <w:tc>
          <w:tcPr>
            <w:tcW w:type="dxa" w:w="344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Pack</w:t>
            </w:r>
          </w:p>
        </w:tc>
        <w:tc>
          <w:tcPr>
            <w:tcW w:type="dxa" w:w="29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Crédits affichés</w:t>
            </w:r>
          </w:p>
        </w:tc>
        <w:tc>
          <w:tcPr>
            <w:tcW w:type="dxa" w:w="29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Prix affiché</w:t>
            </w:r>
          </w:p>
        </w:tc>
      </w:tr>
      <w:tr>
        <w:tc>
          <w:tcPr>
            <w:tcW w:type="dxa" w:w="344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Amateur</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30</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4,99 €</w:t>
            </w:r>
          </w:p>
        </w:tc>
      </w:tr>
      <w:tr>
        <w:tc>
          <w:tcPr>
            <w:tcW w:type="dxa" w:w="344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Pro</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100</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9,99 €</w:t>
            </w:r>
          </w:p>
        </w:tc>
      </w:tr>
      <w:tr>
        <w:tc>
          <w:tcPr>
            <w:tcW w:type="dxa" w:w="344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Engagé</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150</w:t>
            </w:r>
          </w:p>
        </w:tc>
        <w:tc>
          <w:tcPr>
            <w:tcW w:type="dxa" w:w="29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14,99 €</w:t>
            </w:r>
          </w:p>
        </w:tc>
      </w:tr>
    </w:tbl>
    <w:p>
      <w:pPr>
        <w:spacing w:before="0" w:after="40"/>
      </w:pPr>
    </w:p>
    <w:p>
      <w:pPr>
        <w:keepLines/>
      </w:pPr>
      <w:r>
        <w:rPr>
          <w:rFonts w:ascii="Calibri" w:hAnsi="Calibri" w:eastAsia="Calibri"/>
          <w:i w:val="0"/>
          <w:color w:val="17202A"/>
        </w:rPr>
        <w:t>Ces valeurs sont affichées de manière fixe dans l’interface. Le montant réellement crédité après paiement est lu dans le catalogue Stripe. Il faut donc vérifier que les métadonnées Stripe correspondent exactement aux 30 / 100 / 150 crédits promis à l’écran.</w:t>
      </w:r>
    </w:p>
    <w:p>
      <w:pPr>
        <w:pStyle w:val="Heading2"/>
        <w:keepNext/>
        <w:keepLines/>
      </w:pPr>
      <w:r>
        <w:t>4.4 Abonnements : écart majeur entre promesse et attribution</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2200"/>
        <w:gridCol w:w="2680"/>
        <w:gridCol w:w="2680"/>
        <w:gridCol w:w="1800"/>
      </w:tblGrid>
      <w:tr>
        <w:trPr>
          <w:tblHeader w:val="true"/>
        </w:trPr>
        <w:tc>
          <w:tcPr>
            <w:tcW w:type="dxa" w:w="22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Offre</w:t>
            </w:r>
          </w:p>
        </w:tc>
        <w:tc>
          <w:tcPr>
            <w:tcW w:type="dxa" w:w="268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Promesse affichée</w:t>
            </w:r>
          </w:p>
        </w:tc>
        <w:tc>
          <w:tcPr>
            <w:tcW w:type="dxa" w:w="268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Référence interne actuelle</w:t>
            </w:r>
          </w:p>
        </w:tc>
        <w:tc>
          <w:tcPr>
            <w:tcW w:type="dxa" w:w="18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Écart</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 Backer Blue</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50 crédits / mois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10 crédits / mois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−40</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 Backer Silver</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110 crédits / mois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40 crédits / mois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−70</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 Backer Gold</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160 crédits / mois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60 crédits / mois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−100</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Annuel Blue</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600 crédits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120 crédits attribuables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−480</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Annuel Silver</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1 320 crédits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480 crédits attribuables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−840</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Annuel Gold</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1 920 crédits</w:t>
            </w:r>
          </w:p>
        </w:tc>
        <w:tc>
          <w:tcPr>
            <w:tcW w:type="dxa" w:w="268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720 crédits attribuables</w:t>
            </w:r>
          </w:p>
        </w:tc>
        <w:tc>
          <w:tcPr>
            <w:tcW w:type="dxa" w:w="18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−1 200</w:t>
            </w:r>
          </w:p>
        </w:tc>
      </w:tr>
    </w:tbl>
    <w:p>
      <w:pPr>
        <w:spacing w:before="0" w:after="40"/>
      </w:pPr>
    </w:p>
    <w:tbl>
      <w:tblPr>
        <w:tblW w:type="dxa" w:w="9360"/>
        <w:jc w:val="left"/>
        <w:tblLayout w:type="fixed"/>
        <w:tblLook w:firstColumn="1" w:firstRow="1" w:lastColumn="0" w:lastRow="0" w:noHBand="0" w:noVBand="1" w:val="04A0"/>
        <w:tblInd w:w="120" w:type="dxa"/>
        <w:tblBorders>
          <w:top w:val="single" w:sz="4" w:space="0" w:color="FBE9E7"/>
          <w:left w:val="single" w:sz="4" w:space="0" w:color="FBE9E7"/>
          <w:bottom w:val="single" w:sz="4" w:space="0" w:color="FBE9E7"/>
          <w:right w:val="single" w:sz="4" w:space="0" w:color="FBE9E7"/>
          <w:insideH w:val="single" w:sz="4" w:space="0" w:color="FBE9E7"/>
          <w:insideV w:val="single" w:sz="4" w:space="0" w:color="FBE9E7"/>
        </w:tblBorders>
      </w:tblPr>
      <w:tblGrid>
        <w:gridCol w:w="9360"/>
      </w:tblGrid>
      <w:tr>
        <w:tc>
          <w:tcPr>
            <w:tcW w:type="dxa" w:w="9360"/>
            <w:tcMar>
              <w:top w:w="80" w:type="dxa"/>
              <w:start w:w="120" w:type="dxa"/>
              <w:bottom w:w="80" w:type="dxa"/>
              <w:end w:w="120" w:type="dxa"/>
            </w:tcMar>
            <w:vAlign w:val="center"/>
            <w:shd w:fill="FBE9E7" w:val="clear"/>
          </w:tcPr>
          <w:p>
            <w:pPr>
              <w:spacing w:before="40" w:after="40" w:line="264" w:lineRule="auto"/>
            </w:pPr>
            <w:r>
              <w:rPr>
                <w:rFonts w:ascii="Calibri" w:hAnsi="Calibri" w:eastAsia="Calibri"/>
                <w:b/>
                <w:color w:val="9B1C1C"/>
              </w:rPr>
              <w:t xml:space="preserve">Anomalie critique  </w:t>
            </w:r>
            <w:r>
              <w:rPr>
                <w:rFonts w:ascii="Calibri" w:hAnsi="Calibri" w:eastAsia="Calibri"/>
                <w:color w:val="17202A"/>
              </w:rPr>
              <w:t>Les offres mensuelles annoncent des crédits, mais le mécanisme automatique visible attribue surtout les crédits des offres annuelles. Le versement mensuel doit être testé immédiatement sur un abonnement réel avant toute campagne commerciale.</w:t>
            </w:r>
          </w:p>
        </w:tc>
      </w:tr>
    </w:tbl>
    <w:p>
      <w:pPr>
        <w:spacing w:after="40"/>
      </w:pPr>
    </w:p>
    <w:p>
      <w:pPr>
        <w:keepLines/>
      </w:pPr>
      <w:r>
        <w:rPr>
          <w:rFonts w:ascii="Calibri" w:hAnsi="Calibri" w:eastAsia="Calibri"/>
          <w:i w:val="0"/>
          <w:color w:val="17202A"/>
        </w:rPr>
        <w:t>Autre contradiction : l’écran de gestion indique que les crédits annuels sont versés chaque mois, tandis que le mécanisme actuel prévoit un versement annuel en une fois. Le nom des niveaux Silver et Gold est également inversé dans l’écran de gestion de l’abonnement.</w:t>
      </w:r>
    </w:p>
    <w:p>
      <w:pPr>
        <w:pStyle w:val="Heading2"/>
        <w:keepNext/>
        <w:keepLines/>
      </w:pPr>
      <w:r>
        <w:t>4.5 Vocabulaire</w:t>
      </w:r>
    </w:p>
    <w:p>
      <w:pPr>
        <w:keepLines/>
      </w:pPr>
      <w:r>
        <w:rPr>
          <w:rFonts w:ascii="Calibri" w:hAnsi="Calibri" w:eastAsia="Calibri"/>
          <w:i w:val="0"/>
          <w:color w:val="17202A"/>
        </w:rPr>
        <w:t>L’application mélange “crédits”, “coins” et “pièces”. Pour un utilisateur, ces termes semblent désigner la même monnaie. Il faut retenir un seul mot — idéalement “crédits” — dans les boutons, l’historique, les notifications, l’accessibilité et les documents légaux.</w:t>
      </w:r>
    </w:p>
    <w:p>
      <w:pPr>
        <w:pStyle w:val="Heading1"/>
        <w:keepNext/>
        <w:keepLines/>
      </w:pPr>
      <w:r>
        <w:t>5. Parcours d’écoute et fonctions communautaires</w:t>
      </w:r>
    </w:p>
    <w:p>
      <w:pPr>
        <w:pStyle w:val="Heading2"/>
        <w:keepNext/>
        <w:keepLines/>
      </w:pPr>
      <w:r>
        <w:t>Ce qui est disponible</w:t>
      </w:r>
    </w:p>
    <w:p>
      <w:pPr>
        <w:pStyle w:val="AuditBullet"/>
        <w:numPr>
          <w:ilvl w:val="0"/>
          <w:numId w:val="50"/>
        </w:numPr>
        <w:keepLines/>
      </w:pPr>
      <w:r>
        <w:rPr>
          <w:rFonts w:ascii="Calibri" w:hAnsi="Calibri" w:eastAsia="Calibri"/>
          <w:color w:val="17202A"/>
        </w:rPr>
        <w:t>Streaming des chansons publiées avec filtre de langue.</w:t>
      </w:r>
    </w:p>
    <w:p>
      <w:pPr>
        <w:pStyle w:val="AuditBullet"/>
        <w:numPr>
          <w:ilvl w:val="0"/>
          <w:numId w:val="50"/>
        </w:numPr>
        <w:keepLines/>
      </w:pPr>
      <w:r>
        <w:rPr>
          <w:rFonts w:ascii="Calibri" w:hAnsi="Calibri" w:eastAsia="Calibri"/>
          <w:color w:val="17202A"/>
        </w:rPr>
        <w:t>Classement du mois et classement global selon les écoutes.</w:t>
      </w:r>
    </w:p>
    <w:p>
      <w:pPr>
        <w:pStyle w:val="AuditBullet"/>
        <w:numPr>
          <w:ilvl w:val="0"/>
          <w:numId w:val="50"/>
        </w:numPr>
        <w:keepLines/>
      </w:pPr>
      <w:r>
        <w:rPr>
          <w:rFonts w:ascii="Calibri" w:hAnsi="Calibri" w:eastAsia="Calibri"/>
          <w:color w:val="17202A"/>
        </w:rPr>
        <w:t>Feed vertical de playbacks et classement dédié.</w:t>
      </w:r>
    </w:p>
    <w:p>
      <w:pPr>
        <w:pStyle w:val="AuditBullet"/>
        <w:numPr>
          <w:ilvl w:val="0"/>
          <w:numId w:val="50"/>
        </w:numPr>
        <w:keepLines/>
      </w:pPr>
      <w:r>
        <w:rPr>
          <w:rFonts w:ascii="Calibri" w:hAnsi="Calibri" w:eastAsia="Calibri"/>
          <w:color w:val="17202A"/>
        </w:rPr>
        <w:t>Likes séparés pour les chansons et les playbacks.</w:t>
      </w:r>
    </w:p>
    <w:p>
      <w:pPr>
        <w:pStyle w:val="AuditBullet"/>
        <w:numPr>
          <w:ilvl w:val="0"/>
          <w:numId w:val="50"/>
        </w:numPr>
        <w:keepLines/>
      </w:pPr>
      <w:r>
        <w:rPr>
          <w:rFonts w:ascii="Calibri" w:hAnsi="Calibri" w:eastAsia="Calibri"/>
          <w:color w:val="17202A"/>
        </w:rPr>
        <w:t>Commentaires sur les playbacks.</w:t>
      </w:r>
    </w:p>
    <w:p>
      <w:pPr>
        <w:pStyle w:val="AuditBullet"/>
        <w:numPr>
          <w:ilvl w:val="0"/>
          <w:numId w:val="50"/>
        </w:numPr>
        <w:keepLines/>
      </w:pPr>
      <w:r>
        <w:rPr>
          <w:rFonts w:ascii="Calibri" w:hAnsi="Calibri" w:eastAsia="Calibri"/>
          <w:color w:val="17202A"/>
        </w:rPr>
        <w:t>Suivi d’artistes et consultation des abonnés / abonnements.</w:t>
      </w:r>
    </w:p>
    <w:p>
      <w:pPr>
        <w:pStyle w:val="AuditBullet"/>
        <w:numPr>
          <w:ilvl w:val="0"/>
          <w:numId w:val="50"/>
        </w:numPr>
        <w:keepLines/>
      </w:pPr>
      <w:r>
        <w:rPr>
          <w:rFonts w:ascii="Calibri" w:hAnsi="Calibri" w:eastAsia="Calibri"/>
          <w:color w:val="17202A"/>
        </w:rPr>
        <w:t>Partage par lien, QR code et options système.</w:t>
      </w:r>
    </w:p>
    <w:p>
      <w:pPr>
        <w:pStyle w:val="AuditBullet"/>
        <w:numPr>
          <w:ilvl w:val="0"/>
          <w:numId w:val="50"/>
        </w:numPr>
        <w:keepLines/>
      </w:pPr>
      <w:r>
        <w:rPr>
          <w:rFonts w:ascii="Calibri" w:hAnsi="Calibri" w:eastAsia="Calibri"/>
          <w:color w:val="17202A"/>
        </w:rPr>
        <w:t>Recherche de chansons, playbacks et profils.</w:t>
      </w:r>
    </w:p>
    <w:p>
      <w:pPr>
        <w:pStyle w:val="AuditBullet"/>
        <w:numPr>
          <w:ilvl w:val="0"/>
          <w:numId w:val="50"/>
        </w:numPr>
        <w:keepLines/>
      </w:pPr>
      <w:r>
        <w:rPr>
          <w:rFonts w:ascii="Calibri" w:hAnsi="Calibri" w:eastAsia="Calibri"/>
          <w:color w:val="17202A"/>
        </w:rPr>
        <w:t>Librairie personnelle avec créations, favoris, playbacks et playlists.</w:t>
      </w:r>
    </w:p>
    <w:p>
      <w:pPr>
        <w:pStyle w:val="AuditBullet"/>
        <w:numPr>
          <w:ilvl w:val="0"/>
          <w:numId w:val="50"/>
        </w:numPr>
        <w:keepLines/>
      </w:pPr>
      <w:r>
        <w:rPr>
          <w:rFonts w:ascii="Calibri" w:hAnsi="Calibri" w:eastAsia="Calibri"/>
          <w:color w:val="17202A"/>
        </w:rPr>
        <w:t>Signalement de contenu et suppression de compte.</w:t>
      </w:r>
    </w:p>
    <w:p>
      <w:pPr>
        <w:pStyle w:val="Heading2"/>
        <w:keepNext/>
        <w:keepLines/>
      </w:pPr>
      <w:r>
        <w:t>Limites actuelles</w:t>
      </w:r>
    </w:p>
    <w:p>
      <w:pPr>
        <w:pStyle w:val="AuditBullet"/>
        <w:numPr>
          <w:ilvl w:val="0"/>
          <w:numId w:val="50"/>
        </w:numPr>
        <w:keepLines/>
      </w:pPr>
      <w:r>
        <w:rPr>
          <w:rFonts w:ascii="Calibri" w:hAnsi="Calibri" w:eastAsia="Calibri"/>
          <w:b/>
          <w:color w:val="17202A"/>
        </w:rPr>
        <w:t>Les sections “Mes clips”</w:t>
      </w:r>
      <w:r>
        <w:rPr>
          <w:rFonts w:ascii="Calibri" w:hAnsi="Calibri" w:eastAsia="Calibri"/>
          <w:color w:val="17202A"/>
        </w:rPr>
        <w:t xml:space="preserve"> et “Clips aimés” sont prévues visuellement mais ne sont pas alimentées.</w:t>
      </w:r>
    </w:p>
    <w:p>
      <w:pPr>
        <w:pStyle w:val="AuditBullet"/>
        <w:numPr>
          <w:ilvl w:val="0"/>
          <w:numId w:val="50"/>
        </w:numPr>
        <w:keepLines/>
      </w:pPr>
      <w:r>
        <w:rPr>
          <w:rFonts w:ascii="Calibri" w:hAnsi="Calibri" w:eastAsia="Calibri"/>
          <w:b/>
          <w:color w:val="17202A"/>
        </w:rPr>
        <w:t>La création de playlists</w:t>
      </w:r>
      <w:r>
        <w:rPr>
          <w:rFonts w:ascii="Calibri" w:hAnsi="Calibri" w:eastAsia="Calibri"/>
          <w:color w:val="17202A"/>
        </w:rPr>
        <w:t xml:space="preserve"> est réservée aux abonnés ; cette règle est cohérente avec les avantages affichés, mais mérite d’être expliquée avant l’action.</w:t>
      </w:r>
    </w:p>
    <w:p>
      <w:pPr>
        <w:pStyle w:val="AuditBullet"/>
        <w:numPr>
          <w:ilvl w:val="0"/>
          <w:numId w:val="50"/>
        </w:numPr>
        <w:keepLines/>
      </w:pPr>
      <w:r>
        <w:rPr>
          <w:rFonts w:ascii="Calibri" w:hAnsi="Calibri" w:eastAsia="Calibri"/>
          <w:b/>
          <w:color w:val="17202A"/>
        </w:rPr>
        <w:t>Le modèle actuel</w:t>
      </w:r>
      <w:r>
        <w:rPr>
          <w:rFonts w:ascii="Calibri" w:hAnsi="Calibri" w:eastAsia="Calibri"/>
          <w:color w:val="17202A"/>
        </w:rPr>
        <w:t xml:space="preserve"> associe un seul playback principal à un projet, ce qui limite plusieurs performances ou plusieurs versions sur une même chanson.</w:t>
      </w:r>
    </w:p>
    <w:p>
      <w:pPr>
        <w:pStyle w:val="AuditBullet"/>
        <w:numPr>
          <w:ilvl w:val="0"/>
          <w:numId w:val="50"/>
        </w:numPr>
        <w:keepLines/>
      </w:pPr>
      <w:r>
        <w:rPr>
          <w:rFonts w:ascii="Calibri" w:hAnsi="Calibri" w:eastAsia="Calibri"/>
          <w:b/>
          <w:color w:val="17202A"/>
        </w:rPr>
        <w:t>La publication YouTube</w:t>
      </w:r>
      <w:r>
        <w:rPr>
          <w:rFonts w:ascii="Calibri" w:hAnsi="Calibri" w:eastAsia="Calibri"/>
          <w:color w:val="17202A"/>
        </w:rPr>
        <w:t xml:space="preserve"> ne complète pas encore la promesse de diffusion externe.</w:t>
      </w:r>
    </w:p>
    <w:p>
      <w:pPr>
        <w:pStyle w:val="Heading1"/>
        <w:keepNext/>
        <w:keepLines/>
      </w:pPr>
      <w:r>
        <w:t>6. Compte, abonnement et support utilisateur</w:t>
      </w:r>
    </w:p>
    <w:p>
      <w:pPr>
        <w:keepLines/>
      </w:pPr>
      <w:r>
        <w:rPr>
          <w:rFonts w:ascii="Calibri" w:hAnsi="Calibri" w:eastAsia="Calibri"/>
          <w:i w:val="0"/>
          <w:color w:val="17202A"/>
        </w:rPr>
        <w:t>Le profil permet de modifier son identité, consulter ses créations, voir ses abonnés, accéder aux paramètres, gérer l’abonnement, consulter l’historique des crédits, changer la langue et les préférences de notification, se déconnecter ou supprimer le compte.</w:t>
      </w:r>
    </w:p>
    <w:p>
      <w:pPr>
        <w:pStyle w:val="Heading2"/>
        <w:keepNext/>
        <w:keepLines/>
      </w:pPr>
      <w:r>
        <w:t>Éléments bien couverts</w:t>
      </w:r>
    </w:p>
    <w:p>
      <w:pPr>
        <w:pStyle w:val="AuditBullet"/>
        <w:numPr>
          <w:ilvl w:val="0"/>
          <w:numId w:val="50"/>
        </w:numPr>
        <w:keepLines/>
      </w:pPr>
      <w:r>
        <w:rPr>
          <w:rFonts w:ascii="Calibri" w:hAnsi="Calibri" w:eastAsia="Calibri"/>
          <w:color w:val="17202A"/>
        </w:rPr>
        <w:t>Solde de crédits visible depuis plusieurs espaces mobiles et depuis l’écran d’achat.</w:t>
      </w:r>
    </w:p>
    <w:p>
      <w:pPr>
        <w:pStyle w:val="AuditBullet"/>
        <w:numPr>
          <w:ilvl w:val="0"/>
          <w:numId w:val="50"/>
        </w:numPr>
        <w:keepLines/>
      </w:pPr>
      <w:r>
        <w:rPr>
          <w:rFonts w:ascii="Calibri" w:hAnsi="Calibri" w:eastAsia="Calibri"/>
          <w:color w:val="17202A"/>
        </w:rPr>
        <w:t>Historique des crédits gagnés, achetés, dépensés et reçus par abonnement.</w:t>
      </w:r>
    </w:p>
    <w:p>
      <w:pPr>
        <w:pStyle w:val="AuditBullet"/>
        <w:numPr>
          <w:ilvl w:val="0"/>
          <w:numId w:val="50"/>
        </w:numPr>
        <w:keepLines/>
      </w:pPr>
      <w:r>
        <w:rPr>
          <w:rFonts w:ascii="Calibri" w:hAnsi="Calibri" w:eastAsia="Calibri"/>
          <w:color w:val="17202A"/>
        </w:rPr>
        <w:t>Statut de l’abonnement, cycle, date de renouvellement et annulation en fin de période.</w:t>
      </w:r>
    </w:p>
    <w:p>
      <w:pPr>
        <w:pStyle w:val="AuditBullet"/>
        <w:numPr>
          <w:ilvl w:val="0"/>
          <w:numId w:val="50"/>
        </w:numPr>
        <w:keepLines/>
      </w:pPr>
      <w:r>
        <w:rPr>
          <w:rFonts w:ascii="Calibri" w:hAnsi="Calibri" w:eastAsia="Calibri"/>
          <w:color w:val="17202A"/>
        </w:rPr>
        <w:t>Notifications de mouvement de crédits avec nouveau solde.</w:t>
      </w:r>
    </w:p>
    <w:p>
      <w:pPr>
        <w:pStyle w:val="AuditBullet"/>
        <w:numPr>
          <w:ilvl w:val="0"/>
          <w:numId w:val="50"/>
        </w:numPr>
        <w:keepLines/>
      </w:pPr>
      <w:r>
        <w:rPr>
          <w:rFonts w:ascii="Calibri" w:hAnsi="Calibri" w:eastAsia="Calibri"/>
          <w:color w:val="17202A"/>
        </w:rPr>
        <w:t>Changement de mot de passe, d’adresse e-mail, de langue et de préférences de notification.</w:t>
      </w:r>
    </w:p>
    <w:p>
      <w:pPr>
        <w:pStyle w:val="Heading2"/>
        <w:keepNext/>
        <w:keepLines/>
      </w:pPr>
      <w:r>
        <w:t>Éléments à corriger</w:t>
      </w:r>
    </w:p>
    <w:p>
      <w:pPr>
        <w:pStyle w:val="AuditBullet"/>
        <w:numPr>
          <w:ilvl w:val="0"/>
          <w:numId w:val="50"/>
        </w:numPr>
        <w:keepLines/>
      </w:pPr>
      <w:r>
        <w:rPr>
          <w:rFonts w:ascii="Calibri" w:hAnsi="Calibri" w:eastAsia="Calibri"/>
          <w:b/>
          <w:color w:val="17202A"/>
        </w:rPr>
        <w:t>Un achat payé,</w:t>
      </w:r>
      <w:r>
        <w:rPr>
          <w:rFonts w:ascii="Calibri" w:hAnsi="Calibri" w:eastAsia="Calibri"/>
          <w:color w:val="17202A"/>
        </w:rPr>
        <w:t xml:space="preserve"> y compris un simple pack de crédits, positionne un droit général “a déjà acheté”. Ce droit est ensuite accepté par les écrans de téléchargement et peut contourner l’achat à 1,99 € par projet.</w:t>
      </w:r>
    </w:p>
    <w:p>
      <w:pPr>
        <w:pStyle w:val="AuditBullet"/>
        <w:numPr>
          <w:ilvl w:val="0"/>
          <w:numId w:val="50"/>
        </w:numPr>
        <w:keepLines/>
      </w:pPr>
      <w:r>
        <w:rPr>
          <w:rFonts w:ascii="Calibri" w:hAnsi="Calibri" w:eastAsia="Calibri"/>
          <w:b/>
          <w:color w:val="17202A"/>
        </w:rPr>
        <w:t>Les statuts “paiement en retard”</w:t>
      </w:r>
      <w:r>
        <w:rPr>
          <w:rFonts w:ascii="Calibri" w:hAnsi="Calibri" w:eastAsia="Calibri"/>
          <w:color w:val="17202A"/>
        </w:rPr>
        <w:t xml:space="preserve"> et “impayé” sont encore considérés comme actifs pour certains avantages. La règle commerciale doit être validée.</w:t>
      </w:r>
    </w:p>
    <w:p>
      <w:pPr>
        <w:pStyle w:val="AuditBullet"/>
        <w:numPr>
          <w:ilvl w:val="0"/>
          <w:numId w:val="50"/>
        </w:numPr>
        <w:keepLines/>
      </w:pPr>
      <w:r>
        <w:rPr>
          <w:rFonts w:ascii="Calibri" w:hAnsi="Calibri" w:eastAsia="Calibri"/>
          <w:b/>
          <w:color w:val="17202A"/>
        </w:rPr>
        <w:t>L’historique</w:t>
      </w:r>
      <w:r>
        <w:rPr>
          <w:rFonts w:ascii="Calibri" w:hAnsi="Calibri" w:eastAsia="Calibri"/>
          <w:color w:val="17202A"/>
        </w:rPr>
        <w:t xml:space="preserve"> utilise encore les termes “coins” et “rechargement de coins”.</w:t>
      </w:r>
    </w:p>
    <w:p>
      <w:pPr>
        <w:pStyle w:val="AuditBullet"/>
        <w:numPr>
          <w:ilvl w:val="0"/>
          <w:numId w:val="50"/>
        </w:numPr>
        <w:keepLines/>
      </w:pPr>
      <w:r>
        <w:rPr>
          <w:rFonts w:ascii="Calibri" w:hAnsi="Calibri" w:eastAsia="Calibri"/>
          <w:b/>
          <w:color w:val="17202A"/>
        </w:rPr>
        <w:t>Les CGU et la politique de confidentialité</w:t>
      </w:r>
      <w:r>
        <w:rPr>
          <w:rFonts w:ascii="Calibri" w:hAnsi="Calibri" w:eastAsia="Calibri"/>
          <w:color w:val="17202A"/>
        </w:rPr>
        <w:t xml:space="preserve"> ne décrivent ni MusicLand, ni les contenus musicaux/vidéo, ni les prestataires IA, ni les droits de publication.</w:t>
      </w:r>
    </w:p>
    <w:p>
      <w:pPr>
        <w:pStyle w:val="Heading1"/>
        <w:keepNext/>
        <w:keepLines/>
      </w:pPr>
      <w:r>
        <w:t>7. Ce qui manque ou reste incomplet</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900"/>
        <w:gridCol w:w="1950"/>
        <w:gridCol w:w="3250"/>
        <w:gridCol w:w="3260"/>
      </w:tblGrid>
      <w:tr>
        <w:trPr>
          <w:tblHeader w:val="true"/>
        </w:trPr>
        <w:tc>
          <w:tcPr>
            <w:tcW w:type="dxa" w:w="9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Priorité</w:t>
            </w:r>
          </w:p>
        </w:tc>
        <w:tc>
          <w:tcPr>
            <w:tcW w:type="dxa" w:w="195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Sujet</w:t>
            </w:r>
          </w:p>
        </w:tc>
        <w:tc>
          <w:tcPr>
            <w:tcW w:type="dxa" w:w="325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Impact utilisateur / business</w:t>
            </w:r>
          </w:p>
        </w:tc>
        <w:tc>
          <w:tcPr>
            <w:tcW w:type="dxa" w:w="32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19"/>
              </w:rPr>
              <w:t>Action recommandée</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P0</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Crédits d’abonnement</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Promesse commerciale potentiellement non tenue.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Aligner affichage, Stripe et attribution ; tester les 6 offres.</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P0</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Versement mensuel</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Un abonné mensuel peut payer sans recevoir ses crédits.</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Ajouter et vérifier l’attribution à chaque facture mensuelle.</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P0</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Droits de téléchargement</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Un achat peut ouvrir plus de téléchargements que prévu.</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Supprimer le droit général et contrôler par projet / type.</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P0</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Publication YouTube</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Succès annoncé sans publication réelle.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Réactiver le service ou afficher clairement “bientôt disponible”.</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P0</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CGU / confidentialité</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Risque juridique et perte de confiance.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Réécrire pour MusicLand, IA, paiements, contenus et droits d’image.</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P1</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Playback IA</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Coût fournisseur non couvert et consentement incomplet.</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Définir coût, débit, remboursement et consentement photo.</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P1</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Playback live</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Incitation faible à publier.</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Décider si un bonus existe ; ajouter limites anti-abus.</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P1</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Tarifs de téléchargement</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Écrans contradictoires : 1,99 € versus anciens packs 6,99 / 12,99 / 19,99 €.</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Conserver une seule offre et retirer les écrans historiques.</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P1</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Verrouillage des étapes</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L’utilisateur peut perdre la possibilité de corriger paroles ou musique.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Expliquer l’irréversibilité ou proposer une duplication de projet.</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P2</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Clips</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Promesse de librairie incomplète.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Masquer jusqu’à disponibilité ou livrer le vrai parcours.</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P2</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Cohérence des mots</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Crédits / coins / pièces brouillent la compréhension.</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Adopter “crédits” partout.</w:t>
            </w:r>
          </w:p>
        </w:tc>
      </w:tr>
      <w:tr>
        <w:tc>
          <w:tcPr>
            <w:tcW w:type="dxa" w:w="90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P2</w:t>
            </w:r>
          </w:p>
        </w:tc>
        <w:tc>
          <w:tcPr>
            <w:tcW w:type="dxa" w:w="19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Parité web / mobile</w:t>
            </w:r>
          </w:p>
        </w:tc>
        <w:tc>
          <w:tcPr>
            <w:tcW w:type="dxa" w:w="325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Certaines étapes et transitions diffèrent selon la plateforme.</w:t>
            </w:r>
          </w:p>
        </w:tc>
        <w:tc>
          <w:tcPr>
            <w:tcW w:type="dxa" w:w="3260"/>
            <w:tcMar>
              <w:top w:w="80" w:type="dxa"/>
              <w:start w:w="120" w:type="dxa"/>
              <w:bottom w:w="80" w:type="dxa"/>
              <w:end w:w="120" w:type="dxa"/>
            </w:tcMar>
            <w:vAlign w:val="center"/>
          </w:tcPr>
          <w:p>
            <w:pPr>
              <w:spacing w:before="0" w:after="0" w:line="252" w:lineRule="auto"/>
            </w:pPr>
            <w:r>
              <w:rPr>
                <w:rFonts w:ascii="Calibri" w:hAnsi="Calibri" w:eastAsia="Calibri"/>
                <w:color w:val="17202A"/>
                <w:sz w:val="18"/>
              </w:rPr>
              <w:t>Faire une recette commune des parcours clés.</w:t>
            </w:r>
          </w:p>
        </w:tc>
      </w:tr>
    </w:tbl>
    <w:p>
      <w:pPr>
        <w:spacing w:before="0" w:after="40"/>
      </w:pPr>
    </w:p>
    <w:p>
      <w:pPr>
        <w:pStyle w:val="Heading1"/>
        <w:keepNext/>
        <w:keepLines/>
      </w:pPr>
      <w:r>
        <w:t>8. Recommandations produit</w:t>
      </w:r>
    </w:p>
    <w:p>
      <w:pPr>
        <w:pStyle w:val="Heading2"/>
        <w:keepNext/>
        <w:keepLines/>
      </w:pPr>
      <w:r>
        <w:t>8.1 Décisions à prendre immédiatement</w:t>
      </w:r>
    </w:p>
    <w:p>
      <w:pPr>
        <w:pStyle w:val="AuditNumber"/>
        <w:numPr>
          <w:ilvl w:val="0"/>
          <w:numId w:val="52"/>
        </w:numPr>
        <w:keepLines/>
      </w:pPr>
      <w:r>
        <w:rPr>
          <w:rFonts w:ascii="Calibri" w:hAnsi="Calibri" w:eastAsia="Calibri"/>
          <w:b/>
          <w:color w:val="17202A"/>
        </w:rPr>
        <w:t>Valider une grille officielle :</w:t>
      </w:r>
      <w:r>
        <w:rPr>
          <w:rFonts w:ascii="Calibri" w:hAnsi="Calibri" w:eastAsia="Calibri"/>
          <w:color w:val="17202A"/>
        </w:rPr>
        <w:t xml:space="preserve"> bonus d’inscription, coût de la musique, coût du playback IA, bonus éventuel du live, valeur des abonnements et règle d’export.</w:t>
      </w:r>
    </w:p>
    <w:p>
      <w:pPr>
        <w:pStyle w:val="AuditNumber"/>
        <w:numPr>
          <w:ilvl w:val="0"/>
          <w:numId w:val="52"/>
        </w:numPr>
        <w:keepLines/>
      </w:pPr>
      <w:r>
        <w:rPr>
          <w:rFonts w:ascii="Calibri" w:hAnsi="Calibri" w:eastAsia="Calibri"/>
          <w:b/>
          <w:color w:val="17202A"/>
        </w:rPr>
        <w:t>Choisir le rythme d’attribution annuel :</w:t>
      </w:r>
      <w:r>
        <w:rPr>
          <w:rFonts w:ascii="Calibri" w:hAnsi="Calibri" w:eastAsia="Calibri"/>
          <w:color w:val="17202A"/>
        </w:rPr>
        <w:t xml:space="preserve"> tout verser au paiement ou verser chaque mois, puis afficher exactement cette règle.</w:t>
      </w:r>
    </w:p>
    <w:p>
      <w:pPr>
        <w:pStyle w:val="AuditNumber"/>
        <w:numPr>
          <w:ilvl w:val="0"/>
          <w:numId w:val="52"/>
        </w:numPr>
        <w:keepLines/>
      </w:pPr>
      <w:r>
        <w:rPr>
          <w:rFonts w:ascii="Calibri" w:hAnsi="Calibri" w:eastAsia="Calibri"/>
          <w:b/>
          <w:color w:val="17202A"/>
        </w:rPr>
        <w:t>Décider si 1,99 €</w:t>
      </w:r>
      <w:r>
        <w:rPr>
          <w:rFonts w:ascii="Calibri" w:hAnsi="Calibri" w:eastAsia="Calibri"/>
          <w:color w:val="17202A"/>
        </w:rPr>
        <w:t xml:space="preserve"> achète un seul export, tous les exports d’un projet ou un droit global. La formulation actuelle indique “un seul contenu”.</w:t>
      </w:r>
    </w:p>
    <w:p>
      <w:pPr>
        <w:pStyle w:val="AuditNumber"/>
        <w:numPr>
          <w:ilvl w:val="0"/>
          <w:numId w:val="52"/>
        </w:numPr>
        <w:keepLines/>
      </w:pPr>
      <w:r>
        <w:rPr>
          <w:rFonts w:ascii="Calibri" w:hAnsi="Calibri" w:eastAsia="Calibri"/>
          <w:b/>
          <w:color w:val="17202A"/>
        </w:rPr>
        <w:t>Définir la promesse de publication :</w:t>
      </w:r>
      <w:r>
        <w:rPr>
          <w:rFonts w:ascii="Calibri" w:hAnsi="Calibri" w:eastAsia="Calibri"/>
          <w:color w:val="17202A"/>
        </w:rPr>
        <w:t xml:space="preserve"> MusicLand seulement, MusicLand + YouTube, ou YouTube bientôt disponible.</w:t>
      </w:r>
    </w:p>
    <w:p>
      <w:pPr>
        <w:pStyle w:val="Heading2"/>
        <w:keepNext/>
        <w:keepLines/>
      </w:pPr>
      <w:r>
        <w:t>8.2 Grille simple recommandée pour rendre le parcours lisible</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4260"/>
        <w:gridCol w:w="5100"/>
      </w:tblGrid>
      <w:tr>
        <w:trPr>
          <w:tblHeader w:val="true"/>
        </w:trPr>
        <w:tc>
          <w:tcPr>
            <w:tcW w:type="dxa" w:w="42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Action</w:t>
            </w:r>
          </w:p>
        </w:tc>
        <w:tc>
          <w:tcPr>
            <w:tcW w:type="dxa" w:w="51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Règle proposée à afficher</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Inscription</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+10 crédits offerts</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Paroles IA</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Inclus</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2 propositions musicales</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8 crédits</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Nouvelle génération musicale</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8 crédits</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Pochette MusicLand</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Incluse</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Playback live</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Inclus ; bonus éventuel clairement borné</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Playback IA</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Prix en crédits affiché avant l’envoi de la photo</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Publication MusicLand</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Incluse</w:t>
            </w:r>
          </w:p>
        </w:tc>
      </w:tr>
      <w:tr>
        <w:tc>
          <w:tcPr>
            <w:tcW w:type="dxa" w:w="42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Téléchargement privé</w:t>
            </w:r>
          </w:p>
        </w:tc>
        <w:tc>
          <w:tcPr>
            <w:tcW w:type="dxa" w:w="51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Inclus avec abonnement ou 1,99 € par contenu</w:t>
            </w:r>
          </w:p>
        </w:tc>
      </w:tr>
    </w:tbl>
    <w:p>
      <w:pPr>
        <w:spacing w:before="0" w:after="40"/>
      </w:pPr>
    </w:p>
    <w:p>
      <w:pPr>
        <w:keepLines/>
      </w:pPr>
      <w:r>
        <w:rPr>
          <w:rFonts w:ascii="Calibri" w:hAnsi="Calibri" w:eastAsia="Calibri"/>
          <w:i w:val="0"/>
          <w:color w:val="17202A"/>
        </w:rPr>
        <w:t>Le montant exact du playback IA doit être déterminé à partir du coût fournisseur et de la marge cible. Tant qu’il n’est pas décidé, il vaut mieux limiter l’accès que proposer une génération gratuite illimitée.</w:t>
      </w:r>
    </w:p>
    <w:p>
      <w:pPr>
        <w:pStyle w:val="Heading2"/>
        <w:keepNext/>
        <w:keepLines/>
      </w:pPr>
      <w:r>
        <w:t>8.3 Parcours cible simplifié</w:t>
      </w:r>
    </w:p>
    <w:p>
      <w:pPr>
        <w:pStyle w:val="AuditNumber"/>
        <w:numPr>
          <w:ilvl w:val="0"/>
          <w:numId w:val="53"/>
        </w:numPr>
        <w:keepLines/>
      </w:pPr>
      <w:r>
        <w:rPr>
          <w:rFonts w:ascii="Calibri" w:hAnsi="Calibri" w:eastAsia="Calibri"/>
          <w:color w:val="17202A"/>
        </w:rPr>
        <w:t>Choisir Création ou Écoute avec une conséquence tarifaire annoncée.</w:t>
      </w:r>
    </w:p>
    <w:p>
      <w:pPr>
        <w:pStyle w:val="AuditNumber"/>
        <w:numPr>
          <w:ilvl w:val="0"/>
          <w:numId w:val="53"/>
        </w:numPr>
        <w:keepLines/>
      </w:pPr>
      <w:r>
        <w:rPr>
          <w:rFonts w:ascii="Calibri" w:hAnsi="Calibri" w:eastAsia="Calibri"/>
          <w:color w:val="17202A"/>
        </w:rPr>
        <w:t>Créer les paroles gratuitement.</w:t>
      </w:r>
    </w:p>
    <w:p>
      <w:pPr>
        <w:pStyle w:val="AuditNumber"/>
        <w:numPr>
          <w:ilvl w:val="0"/>
          <w:numId w:val="53"/>
        </w:numPr>
        <w:keepLines/>
      </w:pPr>
      <w:r>
        <w:rPr>
          <w:rFonts w:ascii="Calibri" w:hAnsi="Calibri" w:eastAsia="Calibri"/>
          <w:color w:val="17202A"/>
        </w:rPr>
        <w:t>Voir le coût de 8 crédits avant de générer 2 morceaux.</w:t>
      </w:r>
    </w:p>
    <w:p>
      <w:pPr>
        <w:pStyle w:val="AuditNumber"/>
        <w:numPr>
          <w:ilvl w:val="0"/>
          <w:numId w:val="53"/>
        </w:numPr>
        <w:keepLines/>
      </w:pPr>
      <w:r>
        <w:rPr>
          <w:rFonts w:ascii="Calibri" w:hAnsi="Calibri" w:eastAsia="Calibri"/>
          <w:color w:val="17202A"/>
        </w:rPr>
        <w:t>Choisir un morceau et comprendre que cette validation fige paroles et mélodie.</w:t>
      </w:r>
    </w:p>
    <w:p>
      <w:pPr>
        <w:pStyle w:val="AuditNumber"/>
        <w:numPr>
          <w:ilvl w:val="0"/>
          <w:numId w:val="53"/>
        </w:numPr>
        <w:keepLines/>
      </w:pPr>
      <w:r>
        <w:rPr>
          <w:rFonts w:ascii="Calibri" w:hAnsi="Calibri" w:eastAsia="Calibri"/>
          <w:color w:val="17202A"/>
        </w:rPr>
        <w:t>Valider la pochette officielle MusicLand.</w:t>
      </w:r>
    </w:p>
    <w:p>
      <w:pPr>
        <w:pStyle w:val="AuditNumber"/>
        <w:numPr>
          <w:ilvl w:val="0"/>
          <w:numId w:val="53"/>
        </w:numPr>
        <w:keepLines/>
      </w:pPr>
      <w:r>
        <w:rPr>
          <w:rFonts w:ascii="Calibri" w:hAnsi="Calibri" w:eastAsia="Calibri"/>
          <w:color w:val="17202A"/>
        </w:rPr>
        <w:t>Choisir clairement : playback live ou playback IA, avec gain / coût affiché.</w:t>
      </w:r>
    </w:p>
    <w:p>
      <w:pPr>
        <w:pStyle w:val="AuditNumber"/>
        <w:numPr>
          <w:ilvl w:val="0"/>
          <w:numId w:val="53"/>
        </w:numPr>
        <w:keepLines/>
      </w:pPr>
      <w:r>
        <w:rPr>
          <w:rFonts w:ascii="Calibri" w:hAnsi="Calibri" w:eastAsia="Calibri"/>
          <w:color w:val="17202A"/>
        </w:rPr>
        <w:t>Prévisualiser, recommencer ou garder en brouillon.</w:t>
      </w:r>
    </w:p>
    <w:p>
      <w:pPr>
        <w:pStyle w:val="AuditNumber"/>
        <w:numPr>
          <w:ilvl w:val="0"/>
          <w:numId w:val="53"/>
        </w:numPr>
        <w:keepLines/>
      </w:pPr>
      <w:r>
        <w:rPr>
          <w:rFonts w:ascii="Calibri" w:hAnsi="Calibri" w:eastAsia="Calibri"/>
          <w:color w:val="17202A"/>
        </w:rPr>
        <w:t>Publier d’abord sur MusicLand ; proposer ensuite le téléchargement et YouTube selon les droits réels.</w:t>
      </w:r>
    </w:p>
    <w:p>
      <w:pPr>
        <w:pStyle w:val="Heading1"/>
        <w:keepNext/>
        <w:keepLines/>
      </w:pPr>
      <w:r>
        <w:t>9. Plan d’action proposé</w:t>
      </w:r>
    </w:p>
    <w:p>
      <w:pPr>
        <w:pStyle w:val="Heading2"/>
        <w:keepNext/>
        <w:keepLines/>
      </w:pPr>
      <w:r>
        <w:t>0 à 30 jours — sécuriser le modèle</w:t>
      </w:r>
    </w:p>
    <w:p>
      <w:pPr>
        <w:pStyle w:val="AuditBullet"/>
        <w:numPr>
          <w:ilvl w:val="0"/>
          <w:numId w:val="50"/>
        </w:numPr>
        <w:keepLines/>
      </w:pPr>
      <w:r>
        <w:rPr>
          <w:rFonts w:ascii="Calibri" w:hAnsi="Calibri" w:eastAsia="Calibri"/>
          <w:color w:val="17202A"/>
        </w:rPr>
        <w:t>Aligner tous les montants de crédits et faire un test réel de chaque abonnement mensuel et annuel.</w:t>
      </w:r>
    </w:p>
    <w:p>
      <w:pPr>
        <w:pStyle w:val="AuditBullet"/>
        <w:numPr>
          <w:ilvl w:val="0"/>
          <w:numId w:val="50"/>
        </w:numPr>
        <w:keepLines/>
      </w:pPr>
      <w:r>
        <w:rPr>
          <w:rFonts w:ascii="Calibri" w:hAnsi="Calibri" w:eastAsia="Calibri"/>
          <w:color w:val="17202A"/>
        </w:rPr>
        <w:t>Corriger les droits de téléchargement pour qu’ils soient liés au bon projet et au bon produit.</w:t>
      </w:r>
    </w:p>
    <w:p>
      <w:pPr>
        <w:pStyle w:val="AuditBullet"/>
        <w:numPr>
          <w:ilvl w:val="0"/>
          <w:numId w:val="50"/>
        </w:numPr>
        <w:keepLines/>
      </w:pPr>
      <w:r>
        <w:rPr>
          <w:rFonts w:ascii="Calibri" w:hAnsi="Calibri" w:eastAsia="Calibri"/>
          <w:color w:val="17202A"/>
        </w:rPr>
        <w:t>Désactiver ou reformuler la publication YouTube tant que l’envoi réel n’est pas opérationnel.</w:t>
      </w:r>
    </w:p>
    <w:p>
      <w:pPr>
        <w:pStyle w:val="AuditBullet"/>
        <w:numPr>
          <w:ilvl w:val="0"/>
          <w:numId w:val="50"/>
        </w:numPr>
        <w:keepLines/>
      </w:pPr>
      <w:r>
        <w:rPr>
          <w:rFonts w:ascii="Calibri" w:hAnsi="Calibri" w:eastAsia="Calibri"/>
          <w:color w:val="17202A"/>
        </w:rPr>
        <w:t>Remplacer les CGU et la politique de confidentialité par des versions MusicLand.</w:t>
      </w:r>
    </w:p>
    <w:p>
      <w:pPr>
        <w:pStyle w:val="AuditBullet"/>
        <w:numPr>
          <w:ilvl w:val="0"/>
          <w:numId w:val="50"/>
        </w:numPr>
        <w:keepLines/>
      </w:pPr>
      <w:r>
        <w:rPr>
          <w:rFonts w:ascii="Calibri" w:hAnsi="Calibri" w:eastAsia="Calibri"/>
          <w:color w:val="17202A"/>
        </w:rPr>
        <w:t>Uniformiser le vocabulaire en “crédits”.</w:t>
      </w:r>
    </w:p>
    <w:p>
      <w:pPr>
        <w:pStyle w:val="Heading2"/>
        <w:keepNext/>
        <w:keepLines/>
      </w:pPr>
      <w:r>
        <w:t>30 à 60 jours — stabiliser le playback</w:t>
      </w:r>
    </w:p>
    <w:p>
      <w:pPr>
        <w:pStyle w:val="AuditBullet"/>
        <w:numPr>
          <w:ilvl w:val="0"/>
          <w:numId w:val="50"/>
        </w:numPr>
        <w:keepLines/>
      </w:pPr>
      <w:r>
        <w:rPr>
          <w:rFonts w:ascii="Calibri" w:hAnsi="Calibri" w:eastAsia="Calibri"/>
          <w:color w:val="17202A"/>
        </w:rPr>
        <w:t>Ajouter le consentement explicite pour le playback IA et les règles sur le droit à l’image.</w:t>
      </w:r>
    </w:p>
    <w:p>
      <w:pPr>
        <w:pStyle w:val="AuditBullet"/>
        <w:numPr>
          <w:ilvl w:val="0"/>
          <w:numId w:val="50"/>
        </w:numPr>
        <w:keepLines/>
      </w:pPr>
      <w:r>
        <w:rPr>
          <w:rFonts w:ascii="Calibri" w:hAnsi="Calibri" w:eastAsia="Calibri"/>
          <w:color w:val="17202A"/>
        </w:rPr>
        <w:t>Définir et implémenter le coût du playback IA, avec remboursement automatique en cas d’échec.</w:t>
      </w:r>
    </w:p>
    <w:p>
      <w:pPr>
        <w:pStyle w:val="AuditBullet"/>
        <w:numPr>
          <w:ilvl w:val="0"/>
          <w:numId w:val="50"/>
        </w:numPr>
        <w:keepLines/>
      </w:pPr>
      <w:r>
        <w:rPr>
          <w:rFonts w:ascii="Calibri" w:hAnsi="Calibri" w:eastAsia="Calibri"/>
          <w:color w:val="17202A"/>
        </w:rPr>
        <w:t>Décider du bonus live et ajouter les limites anti-abus si ce bonus est retenu.</w:t>
      </w:r>
    </w:p>
    <w:p>
      <w:pPr>
        <w:pStyle w:val="AuditBullet"/>
        <w:numPr>
          <w:ilvl w:val="0"/>
          <w:numId w:val="50"/>
        </w:numPr>
        <w:keepLines/>
      </w:pPr>
      <w:r>
        <w:rPr>
          <w:rFonts w:ascii="Calibri" w:hAnsi="Calibri" w:eastAsia="Calibri"/>
          <w:color w:val="17202A"/>
        </w:rPr>
        <w:t>Clarifier le statut brouillon / publié et permettre plusieurs performances si cela fait partie de la vision.</w:t>
      </w:r>
    </w:p>
    <w:p>
      <w:pPr>
        <w:pStyle w:val="Heading2"/>
        <w:keepNext/>
        <w:keepLines/>
      </w:pPr>
      <w:r>
        <w:t>60 à 90 jours — améliorer la conversion et la rétention</w:t>
      </w:r>
    </w:p>
    <w:p>
      <w:pPr>
        <w:pStyle w:val="AuditBullet"/>
        <w:numPr>
          <w:ilvl w:val="0"/>
          <w:numId w:val="50"/>
        </w:numPr>
        <w:keepLines/>
      </w:pPr>
      <w:r>
        <w:rPr>
          <w:rFonts w:ascii="Calibri" w:hAnsi="Calibri" w:eastAsia="Calibri"/>
          <w:color w:val="17202A"/>
        </w:rPr>
        <w:t>Rendre la publication MusicLand plus désirable que le téléchargement privé.</w:t>
      </w:r>
    </w:p>
    <w:p>
      <w:pPr>
        <w:pStyle w:val="AuditBullet"/>
        <w:numPr>
          <w:ilvl w:val="0"/>
          <w:numId w:val="50"/>
        </w:numPr>
        <w:keepLines/>
      </w:pPr>
      <w:r>
        <w:rPr>
          <w:rFonts w:ascii="Calibri" w:hAnsi="Calibri" w:eastAsia="Calibri"/>
          <w:color w:val="17202A"/>
        </w:rPr>
        <w:t>Mesurer les abandons aux étapes inscription, crédits, génération, choix du morceau et playback.</w:t>
      </w:r>
    </w:p>
    <w:p>
      <w:pPr>
        <w:pStyle w:val="AuditBullet"/>
        <w:numPr>
          <w:ilvl w:val="0"/>
          <w:numId w:val="50"/>
        </w:numPr>
        <w:keepLines/>
      </w:pPr>
      <w:r>
        <w:rPr>
          <w:rFonts w:ascii="Calibri" w:hAnsi="Calibri" w:eastAsia="Calibri"/>
          <w:color w:val="17202A"/>
        </w:rPr>
        <w:t>Masquer les fonctions non prêtes comme les clips, ou les livrer complètement.</w:t>
      </w:r>
    </w:p>
    <w:p>
      <w:pPr>
        <w:pStyle w:val="AuditBullet"/>
        <w:numPr>
          <w:ilvl w:val="0"/>
          <w:numId w:val="50"/>
        </w:numPr>
        <w:keepLines/>
      </w:pPr>
      <w:r>
        <w:rPr>
          <w:rFonts w:ascii="Calibri" w:hAnsi="Calibri" w:eastAsia="Calibri"/>
          <w:color w:val="17202A"/>
        </w:rPr>
        <w:t>Harmoniser les parcours web et mobile et réaliser une recette des scénarios critiques.</w:t>
      </w:r>
    </w:p>
    <w:p>
      <w:pPr>
        <w:pStyle w:val="Heading1"/>
        <w:keepNext/>
        <w:keepLines/>
      </w:pPr>
      <w:r>
        <w:t>10. Checklist avant commercialisation</w:t>
      </w:r>
    </w:p>
    <w:p>
      <w:pPr>
        <w:pStyle w:val="AuditBullet"/>
        <w:numPr>
          <w:ilvl w:val="0"/>
          <w:numId w:val="50"/>
        </w:numPr>
        <w:keepLines/>
      </w:pPr>
      <w:r>
        <w:rPr>
          <w:rFonts w:ascii="Calibri" w:hAnsi="Calibri" w:eastAsia="Calibri"/>
          <w:color w:val="17202A"/>
        </w:rPr>
        <w:t>Un nouvel utilisateur reçoit bien 10 crédits une seule fois.</w:t>
      </w:r>
    </w:p>
    <w:p>
      <w:pPr>
        <w:pStyle w:val="AuditBullet"/>
        <w:numPr>
          <w:ilvl w:val="0"/>
          <w:numId w:val="50"/>
        </w:numPr>
        <w:keepLines/>
      </w:pPr>
      <w:r>
        <w:rPr>
          <w:rFonts w:ascii="Calibri" w:hAnsi="Calibri" w:eastAsia="Calibri"/>
          <w:color w:val="17202A"/>
        </w:rPr>
        <w:t>Une génération musicale débite exactement 8 crédits et produit 2 propositions.</w:t>
      </w:r>
    </w:p>
    <w:p>
      <w:pPr>
        <w:pStyle w:val="AuditBullet"/>
        <w:numPr>
          <w:ilvl w:val="0"/>
          <w:numId w:val="50"/>
        </w:numPr>
        <w:keepLines/>
      </w:pPr>
      <w:r>
        <w:rPr>
          <w:rFonts w:ascii="Calibri" w:hAnsi="Calibri" w:eastAsia="Calibri"/>
          <w:color w:val="17202A"/>
        </w:rPr>
        <w:t>Un échec de génération rembourse exactement 8 crédits, une seule fois.</w:t>
      </w:r>
    </w:p>
    <w:p>
      <w:pPr>
        <w:pStyle w:val="AuditBullet"/>
        <w:numPr>
          <w:ilvl w:val="0"/>
          <w:numId w:val="50"/>
        </w:numPr>
        <w:keepLines/>
      </w:pPr>
      <w:r>
        <w:rPr>
          <w:rFonts w:ascii="Calibri" w:hAnsi="Calibri" w:eastAsia="Calibri"/>
          <w:color w:val="17202A"/>
        </w:rPr>
        <w:t>Chaque pack acheté crédite exactement le montant affiché.</w:t>
      </w:r>
    </w:p>
    <w:p>
      <w:pPr>
        <w:pStyle w:val="AuditBullet"/>
        <w:numPr>
          <w:ilvl w:val="0"/>
          <w:numId w:val="50"/>
        </w:numPr>
        <w:keepLines/>
      </w:pPr>
      <w:r>
        <w:rPr>
          <w:rFonts w:ascii="Calibri" w:hAnsi="Calibri" w:eastAsia="Calibri"/>
          <w:color w:val="17202A"/>
        </w:rPr>
        <w:t>Chaque abonnement mensuel crédite le bon montant au premier paiement puis à chaque renouvellement.</w:t>
      </w:r>
    </w:p>
    <w:p>
      <w:pPr>
        <w:pStyle w:val="AuditBullet"/>
        <w:numPr>
          <w:ilvl w:val="0"/>
          <w:numId w:val="50"/>
        </w:numPr>
        <w:keepLines/>
      </w:pPr>
      <w:r>
        <w:rPr>
          <w:rFonts w:ascii="Calibri" w:hAnsi="Calibri" w:eastAsia="Calibri"/>
          <w:color w:val="17202A"/>
        </w:rPr>
        <w:t>Chaque abonnement annuel suit la règle annoncée : versement unique ou mensuel.</w:t>
      </w:r>
    </w:p>
    <w:p>
      <w:pPr>
        <w:pStyle w:val="AuditBullet"/>
        <w:numPr>
          <w:ilvl w:val="0"/>
          <w:numId w:val="50"/>
        </w:numPr>
        <w:keepLines/>
      </w:pPr>
      <w:r>
        <w:rPr>
          <w:rFonts w:ascii="Calibri" w:hAnsi="Calibri" w:eastAsia="Calibri"/>
          <w:color w:val="17202A"/>
        </w:rPr>
        <w:t>Un achat de téléchargement à 1,99 € n’ouvre que le contenu prévu.</w:t>
      </w:r>
    </w:p>
    <w:p>
      <w:pPr>
        <w:pStyle w:val="AuditBullet"/>
        <w:numPr>
          <w:ilvl w:val="0"/>
          <w:numId w:val="50"/>
        </w:numPr>
        <w:keepLines/>
      </w:pPr>
      <w:r>
        <w:rPr>
          <w:rFonts w:ascii="Calibri" w:hAnsi="Calibri" w:eastAsia="Calibri"/>
          <w:color w:val="17202A"/>
        </w:rPr>
        <w:t>Un pack de crédits ne donne pas gratuitement accès à tous les téléchargements.</w:t>
      </w:r>
    </w:p>
    <w:p>
      <w:pPr>
        <w:pStyle w:val="AuditBullet"/>
        <w:numPr>
          <w:ilvl w:val="0"/>
          <w:numId w:val="50"/>
        </w:numPr>
        <w:keepLines/>
      </w:pPr>
      <w:r>
        <w:rPr>
          <w:rFonts w:ascii="Calibri" w:hAnsi="Calibri" w:eastAsia="Calibri"/>
          <w:color w:val="17202A"/>
        </w:rPr>
        <w:t>Le playback IA affiche son coût, recueille le consentement et rembourse en cas d’échec.</w:t>
      </w:r>
    </w:p>
    <w:p>
      <w:pPr>
        <w:pStyle w:val="AuditBullet"/>
        <w:numPr>
          <w:ilvl w:val="0"/>
          <w:numId w:val="50"/>
        </w:numPr>
        <w:keepLines/>
      </w:pPr>
      <w:r>
        <w:rPr>
          <w:rFonts w:ascii="Calibri" w:hAnsi="Calibri" w:eastAsia="Calibri"/>
          <w:color w:val="17202A"/>
        </w:rPr>
        <w:t>La publication YouTube est réelle ou clairement indiquée comme indisponible.</w:t>
      </w:r>
    </w:p>
    <w:p>
      <w:pPr>
        <w:pStyle w:val="AuditBullet"/>
        <w:numPr>
          <w:ilvl w:val="0"/>
          <w:numId w:val="50"/>
        </w:numPr>
        <w:keepLines/>
      </w:pPr>
      <w:r>
        <w:rPr>
          <w:rFonts w:ascii="Calibri" w:hAnsi="Calibri" w:eastAsia="Calibri"/>
          <w:color w:val="17202A"/>
        </w:rPr>
        <w:t>Les CGU et la confidentialité mentionnent MusicLand, Stripe, les prestataires IA et les droits de contenu.</w:t>
      </w:r>
    </w:p>
    <w:p>
      <w:pPr>
        <w:pStyle w:val="AuditBullet"/>
        <w:numPr>
          <w:ilvl w:val="0"/>
          <w:numId w:val="50"/>
        </w:numPr>
        <w:keepLines/>
      </w:pPr>
      <w:r>
        <w:rPr>
          <w:rFonts w:ascii="Calibri" w:hAnsi="Calibri" w:eastAsia="Calibri"/>
          <w:color w:val="17202A"/>
        </w:rPr>
        <w:t>Les mêmes libellés et règles sont visibles sur iOS, Android et web.</w:t>
      </w:r>
    </w:p>
    <w:tbl>
      <w:tblPr>
        <w:tblW w:type="dxa" w:w="9360"/>
        <w:jc w:val="left"/>
        <w:tblLayout w:type="fixed"/>
        <w:tblLook w:firstColumn="1" w:firstRow="1" w:lastColumn="0" w:lastRow="0" w:noHBand="0" w:noVBand="1" w:val="04A0"/>
        <w:tblInd w:w="120" w:type="dxa"/>
        <w:tblBorders>
          <w:top w:val="single" w:sz="4" w:space="0" w:color="E8EEF5"/>
          <w:left w:val="single" w:sz="4" w:space="0" w:color="E8EEF5"/>
          <w:bottom w:val="single" w:sz="4" w:space="0" w:color="E8EEF5"/>
          <w:right w:val="single" w:sz="4" w:space="0" w:color="E8EEF5"/>
          <w:insideH w:val="single" w:sz="4" w:space="0" w:color="E8EEF5"/>
          <w:insideV w:val="single" w:sz="4" w:space="0" w:color="E8EEF5"/>
        </w:tblBorders>
      </w:tblPr>
      <w:tblGrid>
        <w:gridCol w:w="9360"/>
      </w:tblGrid>
      <w:tr>
        <w:tc>
          <w:tcPr>
            <w:tcW w:type="dxa" w:w="9360"/>
            <w:tcMar>
              <w:top w:w="80" w:type="dxa"/>
              <w:start w:w="120" w:type="dxa"/>
              <w:bottom w:w="80" w:type="dxa"/>
              <w:end w:w="120" w:type="dxa"/>
            </w:tcMar>
            <w:vAlign w:val="center"/>
            <w:shd w:fill="E8EEF5" w:val="clear"/>
          </w:tcPr>
          <w:p>
            <w:pPr>
              <w:spacing w:before="40" w:after="40" w:line="264" w:lineRule="auto"/>
            </w:pPr>
            <w:r>
              <w:rPr>
                <w:rFonts w:ascii="Calibri" w:hAnsi="Calibri" w:eastAsia="Calibri"/>
                <w:b/>
                <w:color w:val="1F4D78"/>
              </w:rPr>
              <w:t xml:space="preserve">Décision finale  </w:t>
            </w:r>
            <w:r>
              <w:rPr>
                <w:rFonts w:ascii="Calibri" w:hAnsi="Calibri" w:eastAsia="Calibri"/>
                <w:color w:val="17202A"/>
              </w:rPr>
              <w:t>Le produit peut être présenté comme une expérience de création musicale complète. Il ne devrait pas encore être présenté comme un système économique totalement stabilisé ni comme une solution de publication YouTube opérationnelle tant que les points P0 ne sont pas corrigés et testés.</w:t>
            </w:r>
          </w:p>
        </w:tc>
      </w:tr>
    </w:tbl>
    <w:p>
      <w:pPr>
        <w:spacing w:after="40"/>
      </w:pPr>
    </w:p>
    <w:p>
      <w:r>
        <w:br w:type="page"/>
      </w:r>
    </w:p>
    <w:p>
      <w:pPr>
        <w:pStyle w:val="Heading1"/>
        <w:keepNext/>
        <w:keepLines/>
      </w:pPr>
      <w:r>
        <w:t>Annexe — Lecture rapide des statuts</w:t>
      </w:r>
    </w:p>
    <w:tbl>
      <w:tblPr>
        <w:tblW w:type="dxa" w:w="9360"/>
        <w:tblLayout w:type="fixed"/>
        <w:tblLook w:firstColumn="1" w:firstRow="1" w:lastColumn="0" w:lastRow="0" w:noHBand="0" w:noVBand="1" w:val="04A0"/>
        <w:jc w:val="left"/>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2200"/>
        <w:gridCol w:w="7160"/>
      </w:tblGrid>
      <w:tr>
        <w:trPr>
          <w:tblHeader w:val="true"/>
        </w:trPr>
        <w:tc>
          <w:tcPr>
            <w:tcW w:type="dxa" w:w="220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Statut</w:t>
            </w:r>
          </w:p>
        </w:tc>
        <w:tc>
          <w:tcPr>
            <w:tcW w:type="dxa" w:w="7160"/>
            <w:tcMar>
              <w:top w:w="80" w:type="dxa"/>
              <w:start w:w="120" w:type="dxa"/>
              <w:bottom w:w="80" w:type="dxa"/>
              <w:end w:w="120" w:type="dxa"/>
            </w:tcMar>
            <w:vAlign w:val="center"/>
            <w:shd w:fill="F2F4F7" w:val="clear"/>
          </w:tcPr>
          <w:p>
            <w:pPr>
              <w:spacing w:before="0" w:after="0" w:line="240" w:lineRule="auto"/>
            </w:pPr>
            <w:r>
              <w:rPr>
                <w:rFonts w:ascii="Calibri" w:hAnsi="Calibri" w:eastAsia="Calibri"/>
                <w:b/>
                <w:color w:val="203748"/>
                <w:sz w:val="20"/>
              </w:rPr>
              <w:t>Signification dans cet audit</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Opérationnel</w:t>
            </w:r>
          </w:p>
        </w:tc>
        <w:tc>
          <w:tcPr>
            <w:tcW w:type="dxa" w:w="7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Le parcours est présent et relié à une action réelle.</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Partiel</w:t>
            </w:r>
          </w:p>
        </w:tc>
        <w:tc>
          <w:tcPr>
            <w:tcW w:type="dxa" w:w="7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Le parcours existe, mais une partie de la promesse manque ou dépend d’une configuration non vérifiée.</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Incomplet</w:t>
            </w:r>
          </w:p>
        </w:tc>
        <w:tc>
          <w:tcPr>
            <w:tcW w:type="dxa" w:w="7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L’écran existe, mais l’action principale n’est pas réellement exécutée.</w:t>
            </w:r>
          </w:p>
        </w:tc>
      </w:tr>
      <w:tr>
        <w:tc>
          <w:tcPr>
            <w:tcW w:type="dxa" w:w="220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À stabiliser</w:t>
            </w:r>
          </w:p>
        </w:tc>
        <w:tc>
          <w:tcPr>
            <w:tcW w:type="dxa" w:w="7160"/>
            <w:tcMar>
              <w:top w:w="80" w:type="dxa"/>
              <w:start w:w="120" w:type="dxa"/>
              <w:bottom w:w="80" w:type="dxa"/>
              <w:end w:w="120" w:type="dxa"/>
            </w:tcMar>
            <w:vAlign w:val="center"/>
          </w:tcPr>
          <w:p>
            <w:pPr>
              <w:spacing w:before="0" w:after="0" w:line="252" w:lineRule="auto"/>
            </w:pPr>
            <w:r>
              <w:rPr>
                <w:rFonts w:ascii="Calibri" w:hAnsi="Calibri" w:eastAsia="Calibri"/>
                <w:color w:val="17202A"/>
                <w:sz w:val="19"/>
              </w:rPr>
              <w:t>La fonction marche, mais plusieurs règles ou montants se contredisent.</w:t>
            </w:r>
          </w:p>
        </w:tc>
      </w:tr>
    </w:tbl>
    <w:p>
      <w:pPr>
        <w:spacing w:before="0" w:after="4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eastAsia="Calibri"/>
        <w:color w:val="5B6573"/>
        <w:sz w:val="18"/>
      </w:rPr>
      <w:t xml:space="preserve">MusicLand · 25 août 2026 · </w:t>
    </w:r>
    <w:r>
      <w:rPr>
        <w:rFonts w:ascii="Calibri" w:hAnsi="Calibri" w:eastAsia="Calibri"/>
        <w:color w:val="5B6573"/>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50">
    <w:multiLevelType w:val="singleLevel"/>
    <w:lvl w:ilvl="0">
      <w:start w:val="1"/>
      <w:numFmt w:val="bullet"/>
      <w:lvlText w:val="•"/>
      <w:suff w:val="tab"/>
      <w:pPr>
        <w:tabs>
          <w:tab w:val="num" w:pos="720"/>
        </w:tabs>
        <w:ind w:left="720" w:hanging="360"/>
        <w:spacing w:after="160" w:line="280" w:lineRule="auto"/>
      </w:pPr>
    </w:lvl>
  </w:abstractNum>
  <w:num w:numId="50">
    <w:abstractNumId w:val="50"/>
  </w:num>
  <w:abstractNum w:abstractNumId="51">
    <w:multiLevelType w:val="singleLevel"/>
    <w:lvl w:ilvl="0">
      <w:start w:val="1"/>
      <w:numFmt w:val="decimal"/>
      <w:lvlText w:val="%1."/>
      <w:suff w:val="tab"/>
      <w:pPr>
        <w:tabs>
          <w:tab w:val="num" w:pos="720"/>
        </w:tabs>
        <w:ind w:left="720" w:hanging="360"/>
        <w:spacing w:after="160" w:line="280" w:lineRule="auto"/>
      </w:pPr>
    </w:lvl>
  </w:abstractNum>
  <w:num w:numId="51">
    <w:abstractNumId w:val="51"/>
  </w:num>
  <w:abstractNum w:abstractNumId="52">
    <w:multiLevelType w:val="singleLevel"/>
    <w:lvl w:ilvl="0">
      <w:start w:val="1"/>
      <w:numFmt w:val="decimal"/>
      <w:lvlText w:val="%1."/>
      <w:suff w:val="tab"/>
      <w:pPr>
        <w:tabs>
          <w:tab w:val="num" w:pos="720"/>
        </w:tabs>
        <w:ind w:left="720" w:hanging="360"/>
        <w:spacing w:after="160" w:line="280" w:lineRule="auto"/>
      </w:pPr>
    </w:lvl>
  </w:abstractNum>
  <w:num w:numId="52">
    <w:abstractNumId w:val="52"/>
  </w:num>
  <w:abstractNum w:abstractNumId="53">
    <w:multiLevelType w:val="singleLevel"/>
    <w:lvl w:ilvl="0">
      <w:start w:val="1"/>
      <w:numFmt w:val="decimal"/>
      <w:lvlText w:val="%1."/>
      <w:suff w:val="tab"/>
      <w:pPr>
        <w:tabs>
          <w:tab w:val="num" w:pos="720"/>
        </w:tabs>
        <w:ind w:left="720" w:hanging="360"/>
        <w:spacing w:after="160" w:line="280" w:lineRule="auto"/>
      </w:pPr>
    </w:lvl>
  </w:abstractNum>
  <w:num w:numId="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b w:val="0"/>
      <w:color w:val="1720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spacing w:after="160" w:line="240" w:lineRule="auto" w:before="0"/>
      <w:contextualSpacing/>
      <w:jc w:val="center"/>
    </w:pPr>
    <w:rPr>
      <w:rFonts w:asciiTheme="majorHAnsi" w:eastAsiaTheme="majorEastAsia" w:hAnsiTheme="majorHAnsi" w:cstheme="majorBidi" w:ascii="Calibri" w:hAnsi="Calibri"/>
      <w:b/>
      <w:color w:val="20374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160" w:line="240" w:lineRule="auto"/>
      <w:jc w:val="center"/>
    </w:pPr>
    <w:rPr>
      <w:rFonts w:asciiTheme="majorHAnsi" w:eastAsiaTheme="majorEastAsia" w:hAnsiTheme="majorHAnsi" w:cstheme="majorBidi" w:ascii="Calibri" w:hAnsi="Calibri"/>
      <w:b w:val="0"/>
      <w:i/>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ditBullet">
    <w:name w:val="Audit Bullet"/>
    <w:pPr>
      <w:widowControl/>
      <w:spacing w:before="0" w:after="160" w:line="280" w:lineRule="auto"/>
      <w:ind w:left="720" w:hanging="360"/>
    </w:pPr>
    <w:rPr>
      <w:rFonts w:ascii="Calibri" w:hAnsi="Calibri"/>
      <w:b w:val="0"/>
      <w:color w:val="17202A"/>
      <w:sz w:val="22"/>
    </w:rPr>
  </w:style>
  <w:style w:type="paragraph" w:customStyle="1" w:styleId="AuditNumber">
    <w:name w:val="Audit Number"/>
    <w:pPr>
      <w:widowControl/>
      <w:spacing w:before="0" w:after="160" w:line="280" w:lineRule="auto"/>
      <w:ind w:left="720" w:hanging="360"/>
    </w:pPr>
    <w:rPr>
      <w:rFonts w:ascii="Calibri" w:hAnsi="Calibri"/>
      <w:b w:val="0"/>
      <w:color w:val="17202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fonctionnel MusicLand — 25 août 2026</dc:title>
  <dc:subject>Parcours utilisateurs, crédits, abonnements et priorités produit</dc:subject>
  <dc:creator>OpenAI Codex</dc:creator>
  <cp:keywords>MusicLand, audit produit, parcours utilisateur, crédits, abonnements</cp:keywords>
  <dc:description>Audit fonctionnel non technique basé sur l’état actuel de l’application.</dc:description>
  <cp:lastModifiedBy/>
  <cp:revision>1</cp:revision>
  <dcterms:created xsi:type="dcterms:W3CDTF">2013-12-23T23:15:00Z</dcterms:created>
  <dcterms:modified xsi:type="dcterms:W3CDTF">2013-12-23T23:15:00Z</dcterms:modified>
  <cp:category/>
</cp:coreProperties>
</file>